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DAD" w:rsidRDefault="007C7DAD" w:rsidP="00D710EA">
      <w:bookmarkStart w:id="0" w:name="_GoBack"/>
      <w:bookmarkEnd w:id="0"/>
    </w:p>
    <w:p w:rsidR="0085137F" w:rsidRDefault="0085137F" w:rsidP="0085137F">
      <w:pPr>
        <w:tabs>
          <w:tab w:val="left" w:pos="10065"/>
          <w:tab w:val="left" w:pos="10348"/>
        </w:tabs>
        <w:rPr>
          <w:rFonts w:ascii="Arial" w:hAnsi="Arial" w:cs="Arial"/>
        </w:rPr>
        <w:sectPr w:rsidR="0085137F" w:rsidSect="00C61247">
          <w:headerReference w:type="default" r:id="rId8"/>
          <w:footerReference w:type="default" r:id="rId9"/>
          <w:pgSz w:w="16838" w:h="11906" w:orient="landscape"/>
          <w:pgMar w:top="1440" w:right="1440" w:bottom="1440" w:left="1440" w:header="708" w:footer="708" w:gutter="0"/>
          <w:cols w:space="708"/>
          <w:docGrid w:linePitch="360"/>
        </w:sectPr>
      </w:pPr>
    </w:p>
    <w:p w:rsidR="007C7DAD" w:rsidRDefault="007C7DAD">
      <w:pPr>
        <w:rPr>
          <w:rFonts w:ascii="Arial" w:hAnsi="Arial" w:cs="Arial"/>
        </w:rPr>
      </w:pPr>
    </w:p>
    <w:p w:rsidR="0085137F" w:rsidRDefault="0085137F" w:rsidP="007C7DAD">
      <w:pPr>
        <w:jc w:val="center"/>
        <w:rPr>
          <w:rFonts w:ascii="Arial" w:hAnsi="Arial" w:cs="Arial"/>
          <w:color w:val="165788"/>
          <w:sz w:val="96"/>
          <w:szCs w:val="96"/>
        </w:rPr>
        <w:sectPr w:rsidR="0085137F" w:rsidSect="0085137F">
          <w:type w:val="continuous"/>
          <w:pgSz w:w="16838" w:h="11906" w:orient="landscape"/>
          <w:pgMar w:top="1440" w:right="1440" w:bottom="1440" w:left="1440" w:header="708" w:footer="708" w:gutter="0"/>
          <w:cols w:num="2" w:space="720"/>
          <w:docGrid w:linePitch="360"/>
        </w:sectPr>
      </w:pPr>
    </w:p>
    <w:p w:rsidR="0085137F" w:rsidRDefault="0085137F" w:rsidP="007C7DAD">
      <w:pPr>
        <w:jc w:val="center"/>
        <w:rPr>
          <w:rFonts w:ascii="Arial" w:hAnsi="Arial" w:cs="Arial"/>
          <w:color w:val="165788"/>
          <w:sz w:val="96"/>
          <w:szCs w:val="96"/>
        </w:rPr>
      </w:pPr>
    </w:p>
    <w:p w:rsidR="0085137F" w:rsidRPr="0085137F" w:rsidRDefault="0085137F" w:rsidP="0085137F">
      <w:pPr>
        <w:ind w:right="-1142"/>
        <w:rPr>
          <w:rFonts w:ascii="Arial" w:hAnsi="Arial" w:cs="Arial"/>
          <w:color w:val="42145F"/>
          <w:sz w:val="72"/>
          <w:szCs w:val="72"/>
        </w:rPr>
      </w:pPr>
    </w:p>
    <w:p w:rsidR="0085137F" w:rsidRPr="00EB039D" w:rsidRDefault="0085137F" w:rsidP="0085137F">
      <w:pPr>
        <w:ind w:right="-1568"/>
        <w:rPr>
          <w:rFonts w:ascii="Arial" w:hAnsi="Arial" w:cs="Arial"/>
          <w:color w:val="165788"/>
          <w:sz w:val="72"/>
          <w:szCs w:val="72"/>
        </w:rPr>
      </w:pPr>
      <w:r w:rsidRPr="00EB039D">
        <w:rPr>
          <w:rFonts w:ascii="Arial" w:hAnsi="Arial" w:cs="Arial"/>
          <w:color w:val="165788"/>
          <w:sz w:val="72"/>
          <w:szCs w:val="72"/>
        </w:rPr>
        <w:t>bdht 201</w:t>
      </w:r>
      <w:r w:rsidR="00EB039D" w:rsidRPr="00EB039D">
        <w:rPr>
          <w:rFonts w:ascii="Arial" w:hAnsi="Arial" w:cs="Arial"/>
          <w:color w:val="165788"/>
          <w:sz w:val="72"/>
          <w:szCs w:val="72"/>
        </w:rPr>
        <w:t>8</w:t>
      </w:r>
      <w:r w:rsidRPr="00EB039D">
        <w:rPr>
          <w:rFonts w:ascii="Arial" w:hAnsi="Arial" w:cs="Arial"/>
          <w:color w:val="165788"/>
          <w:sz w:val="72"/>
          <w:szCs w:val="72"/>
        </w:rPr>
        <w:t xml:space="preserve"> </w:t>
      </w:r>
      <w:r w:rsidR="00C81FC7" w:rsidRPr="00EB039D">
        <w:rPr>
          <w:rFonts w:ascii="Arial" w:hAnsi="Arial" w:cs="Arial"/>
          <w:color w:val="165788"/>
          <w:sz w:val="72"/>
          <w:szCs w:val="72"/>
        </w:rPr>
        <w:t xml:space="preserve">Statement of </w:t>
      </w:r>
      <w:r w:rsidRPr="00EB039D">
        <w:rPr>
          <w:rFonts w:ascii="Arial" w:hAnsi="Arial" w:cs="Arial"/>
          <w:color w:val="165788"/>
          <w:sz w:val="72"/>
          <w:szCs w:val="72"/>
        </w:rPr>
        <w:t xml:space="preserve">Compliance </w:t>
      </w:r>
    </w:p>
    <w:p w:rsidR="00EB039D" w:rsidRPr="00EB039D" w:rsidRDefault="00EB039D" w:rsidP="0085137F">
      <w:pPr>
        <w:ind w:right="-1568"/>
        <w:rPr>
          <w:rFonts w:ascii="Arial" w:hAnsi="Arial" w:cs="Arial"/>
          <w:color w:val="165788"/>
          <w:sz w:val="72"/>
          <w:szCs w:val="72"/>
        </w:rPr>
      </w:pPr>
    </w:p>
    <w:p w:rsidR="0085137F" w:rsidRPr="00EB039D" w:rsidRDefault="00EB039D" w:rsidP="0085137F">
      <w:pPr>
        <w:rPr>
          <w:rFonts w:ascii="Arial" w:hAnsi="Arial" w:cs="Arial"/>
          <w:color w:val="165788"/>
          <w:sz w:val="56"/>
          <w:szCs w:val="56"/>
        </w:rPr>
      </w:pPr>
      <w:r w:rsidRPr="00EB039D">
        <w:rPr>
          <w:rFonts w:ascii="Arial" w:hAnsi="Arial" w:cs="Arial"/>
          <w:color w:val="165788"/>
          <w:sz w:val="56"/>
          <w:szCs w:val="56"/>
        </w:rPr>
        <w:t>Regulator of Social Housing</w:t>
      </w:r>
      <w:r w:rsidR="0085137F" w:rsidRPr="00EB039D">
        <w:rPr>
          <w:rFonts w:ascii="Arial" w:hAnsi="Arial" w:cs="Arial"/>
          <w:color w:val="165788"/>
          <w:sz w:val="56"/>
          <w:szCs w:val="56"/>
        </w:rPr>
        <w:t>:</w:t>
      </w:r>
    </w:p>
    <w:p w:rsidR="0085137F" w:rsidRPr="00EB039D" w:rsidRDefault="0085137F" w:rsidP="0085137F">
      <w:pPr>
        <w:rPr>
          <w:rFonts w:ascii="Arial" w:hAnsi="Arial" w:cs="Arial"/>
          <w:color w:val="165788"/>
          <w:sz w:val="96"/>
          <w:szCs w:val="96"/>
        </w:rPr>
      </w:pPr>
      <w:r w:rsidRPr="00EB039D">
        <w:rPr>
          <w:rFonts w:ascii="Arial" w:hAnsi="Arial" w:cs="Arial"/>
          <w:color w:val="165788"/>
          <w:sz w:val="56"/>
          <w:szCs w:val="56"/>
        </w:rPr>
        <w:t>Economic Standards</w:t>
      </w:r>
    </w:p>
    <w:p w:rsidR="0085137F" w:rsidRDefault="0085137F" w:rsidP="007C7DAD">
      <w:pPr>
        <w:jc w:val="center"/>
        <w:rPr>
          <w:rFonts w:ascii="Arial" w:hAnsi="Arial" w:cs="Arial"/>
          <w:color w:val="165788"/>
          <w:sz w:val="96"/>
          <w:szCs w:val="96"/>
        </w:rPr>
      </w:pPr>
    </w:p>
    <w:p w:rsidR="0085137F" w:rsidRDefault="0085137F" w:rsidP="007C7DAD">
      <w:pPr>
        <w:jc w:val="center"/>
        <w:rPr>
          <w:rFonts w:ascii="Arial" w:hAnsi="Arial" w:cs="Arial"/>
          <w:color w:val="165788"/>
          <w:sz w:val="96"/>
          <w:szCs w:val="96"/>
        </w:rPr>
      </w:pPr>
    </w:p>
    <w:p w:rsidR="007C7DAD" w:rsidRPr="007C7DAD" w:rsidRDefault="00A40931" w:rsidP="0085137F">
      <w:pPr>
        <w:ind w:left="567"/>
        <w:jc w:val="center"/>
        <w:rPr>
          <w:rFonts w:ascii="Arial" w:hAnsi="Arial" w:cs="Arial"/>
          <w:color w:val="5F497A"/>
          <w:sz w:val="96"/>
          <w:szCs w:val="96"/>
        </w:rPr>
      </w:pPr>
      <w:r>
        <w:rPr>
          <w:rFonts w:ascii="Arial" w:hAnsi="Arial" w:cs="Arial"/>
          <w:noProof/>
          <w:color w:val="5F497A"/>
          <w:sz w:val="96"/>
          <w:szCs w:val="96"/>
          <w:lang w:eastAsia="en-GB" w:bidi="ar-SA"/>
        </w:rPr>
        <w:drawing>
          <wp:inline distT="0" distB="0" distL="0" distR="0">
            <wp:extent cx="2595245" cy="1117606"/>
            <wp:effectExtent l="0" t="0" r="0" b="6350"/>
            <wp:docPr id="1" name="Picture 1" descr="http://intranet/branding/Shared%20Docu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branding/Shared%20Documents/logo.jpg"/>
                    <pic:cNvPicPr>
                      <a:picLocks noChangeAspect="1" noChangeArrowheads="1"/>
                    </pic:cNvPicPr>
                  </pic:nvPicPr>
                  <pic:blipFill>
                    <a:blip r:embed="rId10" cstate="print"/>
                    <a:srcRect/>
                    <a:stretch>
                      <a:fillRect/>
                    </a:stretch>
                  </pic:blipFill>
                  <pic:spPr bwMode="auto">
                    <a:xfrm>
                      <a:off x="0" y="0"/>
                      <a:ext cx="2608509" cy="1123318"/>
                    </a:xfrm>
                    <a:prstGeom prst="rect">
                      <a:avLst/>
                    </a:prstGeom>
                    <a:noFill/>
                    <a:ln w="9525">
                      <a:noFill/>
                      <a:miter lim="800000"/>
                      <a:headEnd/>
                      <a:tailEnd/>
                    </a:ln>
                  </pic:spPr>
                </pic:pic>
              </a:graphicData>
            </a:graphic>
          </wp:inline>
        </w:drawing>
      </w:r>
    </w:p>
    <w:p w:rsidR="0085137F" w:rsidRDefault="0085137F">
      <w:pPr>
        <w:rPr>
          <w:rFonts w:ascii="Arial" w:hAnsi="Arial" w:cs="Arial"/>
        </w:rPr>
        <w:sectPr w:rsidR="0085137F" w:rsidSect="00C81FC7">
          <w:type w:val="continuous"/>
          <w:pgSz w:w="16838" w:h="11906" w:orient="landscape"/>
          <w:pgMar w:top="1440" w:right="1440" w:bottom="1440" w:left="1440" w:header="708" w:footer="708" w:gutter="0"/>
          <w:cols w:num="2" w:space="156" w:equalWidth="0">
            <w:col w:w="9064" w:space="720"/>
            <w:col w:w="4172"/>
          </w:cols>
          <w:docGrid w:linePitch="360"/>
        </w:sectPr>
      </w:pPr>
    </w:p>
    <w:p w:rsidR="007C7DAD" w:rsidRPr="00BD4825" w:rsidRDefault="007C7DAD">
      <w:pPr>
        <w:rPr>
          <w:rFonts w:ascii="Arial" w:hAnsi="Arial" w:cs="Arial"/>
        </w:rPr>
      </w:pPr>
    </w:p>
    <w:p w:rsidR="00CF1095" w:rsidRPr="00C66CA1" w:rsidRDefault="00CF1095" w:rsidP="00CF1095">
      <w:pPr>
        <w:jc w:val="center"/>
        <w:rPr>
          <w:rFonts w:ascii="Arial" w:hAnsi="Arial" w:cs="Arial"/>
          <w:color w:val="165788"/>
          <w:sz w:val="40"/>
          <w:szCs w:val="40"/>
        </w:rPr>
      </w:pPr>
    </w:p>
    <w:p w:rsidR="0085137F" w:rsidRDefault="00BC23DB">
      <w:pPr>
        <w:rPr>
          <w:rFonts w:ascii="Arial" w:hAnsi="Arial" w:cs="Arial"/>
        </w:rPr>
        <w:sectPr w:rsidR="0085137F" w:rsidSect="00C81FC7">
          <w:type w:val="continuous"/>
          <w:pgSz w:w="16838" w:h="11906" w:orient="landscape"/>
          <w:pgMar w:top="1440" w:right="678" w:bottom="1440" w:left="1440" w:header="708" w:footer="708" w:gutter="0"/>
          <w:cols w:num="2" w:space="720"/>
          <w:docGrid w:linePitch="360"/>
        </w:sectPr>
      </w:pPr>
      <w:r>
        <w:rPr>
          <w:rFonts w:ascii="Arial" w:hAnsi="Arial" w:cs="Arial"/>
        </w:rPr>
        <w:br w:type="page"/>
      </w:r>
    </w:p>
    <w:p w:rsidR="00BC23DB" w:rsidRDefault="00BC23DB">
      <w:pPr>
        <w:rPr>
          <w:rFonts w:ascii="Arial" w:hAnsi="Arial" w:cs="Arial"/>
        </w:rPr>
      </w:pPr>
    </w:p>
    <w:p w:rsidR="009F05D2" w:rsidRPr="00EB039D" w:rsidRDefault="009F05D2" w:rsidP="00CA240D">
      <w:pPr>
        <w:jc w:val="center"/>
        <w:rPr>
          <w:rFonts w:ascii="Arial" w:hAnsi="Arial" w:cs="Arial"/>
          <w:b/>
          <w:color w:val="165788"/>
          <w:sz w:val="28"/>
          <w:szCs w:val="28"/>
        </w:rPr>
      </w:pPr>
      <w:r w:rsidRPr="00EB039D">
        <w:rPr>
          <w:rFonts w:ascii="Arial" w:hAnsi="Arial" w:cs="Arial"/>
          <w:b/>
          <w:color w:val="165788"/>
          <w:sz w:val="28"/>
          <w:szCs w:val="28"/>
        </w:rPr>
        <w:t>Index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6"/>
        <w:gridCol w:w="5168"/>
        <w:gridCol w:w="6034"/>
      </w:tblGrid>
      <w:tr w:rsidR="00EB039D" w:rsidRPr="00EB039D" w:rsidTr="00F43EBB">
        <w:trPr>
          <w:trHeight w:val="737"/>
        </w:trPr>
        <w:tc>
          <w:tcPr>
            <w:tcW w:w="2756" w:type="dxa"/>
          </w:tcPr>
          <w:p w:rsidR="00F43EBB" w:rsidRPr="00EB039D" w:rsidRDefault="00F43EBB" w:rsidP="00F43EBB">
            <w:pPr>
              <w:rPr>
                <w:rFonts w:ascii="Arial" w:hAnsi="Arial" w:cs="Arial"/>
                <w:color w:val="165788"/>
              </w:rPr>
            </w:pPr>
            <w:r w:rsidRPr="00EB039D">
              <w:rPr>
                <w:rFonts w:ascii="Arial" w:hAnsi="Arial" w:cs="Arial"/>
                <w:color w:val="165788"/>
              </w:rPr>
              <w:t>Page 3</w:t>
            </w:r>
          </w:p>
        </w:tc>
        <w:tc>
          <w:tcPr>
            <w:tcW w:w="5168" w:type="dxa"/>
          </w:tcPr>
          <w:p w:rsidR="00F43EBB" w:rsidRPr="00EB039D" w:rsidRDefault="00F43EBB" w:rsidP="00684966">
            <w:pPr>
              <w:rPr>
                <w:rFonts w:ascii="Arial" w:hAnsi="Arial" w:cs="Arial"/>
                <w:color w:val="165788"/>
              </w:rPr>
            </w:pPr>
            <w:r w:rsidRPr="00EB039D">
              <w:rPr>
                <w:rFonts w:ascii="Arial" w:hAnsi="Arial" w:cs="Arial"/>
                <w:color w:val="165788"/>
              </w:rPr>
              <w:t>Key Regulatory Documents</w:t>
            </w:r>
          </w:p>
        </w:tc>
        <w:tc>
          <w:tcPr>
            <w:tcW w:w="6034" w:type="dxa"/>
          </w:tcPr>
          <w:p w:rsidR="00F43EBB" w:rsidRPr="00EB039D" w:rsidRDefault="00F43EBB" w:rsidP="00684966">
            <w:pPr>
              <w:rPr>
                <w:rFonts w:ascii="Arial" w:hAnsi="Arial" w:cs="Arial"/>
                <w:color w:val="165788"/>
              </w:rPr>
            </w:pPr>
          </w:p>
        </w:tc>
      </w:tr>
      <w:tr w:rsidR="00EB039D" w:rsidRPr="00EB039D" w:rsidTr="00F43EBB">
        <w:trPr>
          <w:trHeight w:val="737"/>
        </w:trPr>
        <w:tc>
          <w:tcPr>
            <w:tcW w:w="2756" w:type="dxa"/>
          </w:tcPr>
          <w:p w:rsidR="00F43EBB" w:rsidRPr="00EB039D" w:rsidRDefault="00F43EBB" w:rsidP="00C244C0">
            <w:pPr>
              <w:rPr>
                <w:rFonts w:ascii="Arial" w:hAnsi="Arial" w:cs="Arial"/>
                <w:color w:val="165788"/>
              </w:rPr>
            </w:pPr>
            <w:r w:rsidRPr="00EB039D">
              <w:rPr>
                <w:rFonts w:ascii="Arial" w:hAnsi="Arial" w:cs="Arial"/>
                <w:color w:val="165788"/>
              </w:rPr>
              <w:t xml:space="preserve">Page </w:t>
            </w:r>
            <w:r w:rsidR="00C244C0">
              <w:rPr>
                <w:rFonts w:ascii="Arial" w:hAnsi="Arial" w:cs="Arial"/>
                <w:color w:val="165788"/>
              </w:rPr>
              <w:t>4</w:t>
            </w:r>
          </w:p>
        </w:tc>
        <w:tc>
          <w:tcPr>
            <w:tcW w:w="5168" w:type="dxa"/>
          </w:tcPr>
          <w:p w:rsidR="00F43EBB" w:rsidRPr="00EB039D" w:rsidRDefault="00F43EBB" w:rsidP="00684966">
            <w:pPr>
              <w:rPr>
                <w:rFonts w:ascii="Arial" w:hAnsi="Arial" w:cs="Arial"/>
                <w:color w:val="165788"/>
              </w:rPr>
            </w:pPr>
            <w:r w:rsidRPr="00EB039D">
              <w:rPr>
                <w:rFonts w:ascii="Arial" w:hAnsi="Arial" w:cs="Arial"/>
                <w:color w:val="165788"/>
              </w:rPr>
              <w:t>Reference Documents</w:t>
            </w:r>
          </w:p>
        </w:tc>
        <w:tc>
          <w:tcPr>
            <w:tcW w:w="6034" w:type="dxa"/>
          </w:tcPr>
          <w:p w:rsidR="00F43EBB" w:rsidRPr="00EB039D" w:rsidRDefault="00F43EBB" w:rsidP="00684966">
            <w:pPr>
              <w:rPr>
                <w:rFonts w:ascii="Arial" w:hAnsi="Arial" w:cs="Arial"/>
                <w:color w:val="165788"/>
              </w:rPr>
            </w:pPr>
          </w:p>
        </w:tc>
      </w:tr>
      <w:tr w:rsidR="00EB039D" w:rsidRPr="00EB039D" w:rsidTr="00F43EBB">
        <w:trPr>
          <w:trHeight w:val="737"/>
        </w:trPr>
        <w:tc>
          <w:tcPr>
            <w:tcW w:w="2756" w:type="dxa"/>
          </w:tcPr>
          <w:p w:rsidR="00F43EBB" w:rsidRPr="00EB039D" w:rsidRDefault="00F43EBB" w:rsidP="00C244C0">
            <w:pPr>
              <w:rPr>
                <w:rFonts w:ascii="Arial" w:hAnsi="Arial" w:cs="Arial"/>
                <w:color w:val="165788"/>
              </w:rPr>
            </w:pPr>
            <w:r w:rsidRPr="00EB039D">
              <w:rPr>
                <w:rFonts w:ascii="Arial" w:hAnsi="Arial" w:cs="Arial"/>
                <w:color w:val="165788"/>
              </w:rPr>
              <w:t xml:space="preserve">Page </w:t>
            </w:r>
            <w:r w:rsidR="00C244C0">
              <w:rPr>
                <w:rFonts w:ascii="Arial" w:hAnsi="Arial" w:cs="Arial"/>
                <w:color w:val="165788"/>
              </w:rPr>
              <w:t>5</w:t>
            </w:r>
          </w:p>
        </w:tc>
        <w:tc>
          <w:tcPr>
            <w:tcW w:w="5168" w:type="dxa"/>
          </w:tcPr>
          <w:p w:rsidR="00F43EBB" w:rsidRPr="00EB039D" w:rsidRDefault="00F43EBB" w:rsidP="00F43EBB">
            <w:pPr>
              <w:rPr>
                <w:rFonts w:ascii="Arial" w:hAnsi="Arial" w:cs="Arial"/>
                <w:color w:val="165788"/>
              </w:rPr>
            </w:pPr>
            <w:r w:rsidRPr="00EB039D">
              <w:rPr>
                <w:rFonts w:ascii="Arial" w:hAnsi="Arial" w:cs="Arial"/>
                <w:color w:val="165788"/>
              </w:rPr>
              <w:t>Key Sources of Assurance</w:t>
            </w:r>
          </w:p>
        </w:tc>
        <w:tc>
          <w:tcPr>
            <w:tcW w:w="6034" w:type="dxa"/>
          </w:tcPr>
          <w:p w:rsidR="00F43EBB" w:rsidRPr="00EB039D" w:rsidRDefault="00F43EBB" w:rsidP="00684966">
            <w:pPr>
              <w:rPr>
                <w:rFonts w:ascii="Arial" w:hAnsi="Arial" w:cs="Arial"/>
                <w:color w:val="165788"/>
              </w:rPr>
            </w:pPr>
          </w:p>
        </w:tc>
      </w:tr>
      <w:tr w:rsidR="00EB039D" w:rsidRPr="00EB039D" w:rsidTr="00F43EBB">
        <w:trPr>
          <w:trHeight w:val="737"/>
        </w:trPr>
        <w:tc>
          <w:tcPr>
            <w:tcW w:w="2756" w:type="dxa"/>
          </w:tcPr>
          <w:p w:rsidR="00673890" w:rsidRPr="00EB039D" w:rsidRDefault="00673890" w:rsidP="00C244C0">
            <w:pPr>
              <w:rPr>
                <w:rFonts w:ascii="Arial" w:hAnsi="Arial" w:cs="Arial"/>
                <w:color w:val="165788"/>
              </w:rPr>
            </w:pPr>
            <w:r w:rsidRPr="00EB039D">
              <w:rPr>
                <w:rFonts w:ascii="Arial" w:hAnsi="Arial" w:cs="Arial"/>
                <w:color w:val="165788"/>
              </w:rPr>
              <w:t xml:space="preserve">Page </w:t>
            </w:r>
            <w:r w:rsidR="00C244C0">
              <w:rPr>
                <w:rFonts w:ascii="Arial" w:hAnsi="Arial" w:cs="Arial"/>
                <w:color w:val="165788"/>
              </w:rPr>
              <w:t>7</w:t>
            </w:r>
          </w:p>
        </w:tc>
        <w:tc>
          <w:tcPr>
            <w:tcW w:w="5168" w:type="dxa"/>
          </w:tcPr>
          <w:p w:rsidR="00673890" w:rsidRPr="00EB039D" w:rsidRDefault="00673890" w:rsidP="00684966">
            <w:pPr>
              <w:rPr>
                <w:rFonts w:ascii="Arial" w:hAnsi="Arial" w:cs="Arial"/>
                <w:color w:val="165788"/>
              </w:rPr>
            </w:pPr>
            <w:r w:rsidRPr="00EB039D">
              <w:rPr>
                <w:rFonts w:ascii="Arial" w:hAnsi="Arial" w:cs="Arial"/>
                <w:color w:val="165788"/>
              </w:rPr>
              <w:t>Summary</w:t>
            </w:r>
          </w:p>
        </w:tc>
        <w:tc>
          <w:tcPr>
            <w:tcW w:w="6034" w:type="dxa"/>
          </w:tcPr>
          <w:p w:rsidR="00673890" w:rsidRPr="00EB039D" w:rsidRDefault="00673890" w:rsidP="00684966">
            <w:pPr>
              <w:rPr>
                <w:rFonts w:ascii="Arial" w:hAnsi="Arial" w:cs="Arial"/>
                <w:color w:val="165788"/>
              </w:rPr>
            </w:pPr>
          </w:p>
        </w:tc>
      </w:tr>
      <w:tr w:rsidR="00EB039D" w:rsidRPr="00EB039D" w:rsidTr="00F43EBB">
        <w:trPr>
          <w:trHeight w:val="737"/>
        </w:trPr>
        <w:tc>
          <w:tcPr>
            <w:tcW w:w="2756" w:type="dxa"/>
          </w:tcPr>
          <w:p w:rsidR="00F43EBB" w:rsidRPr="00EB039D" w:rsidRDefault="00F43EBB" w:rsidP="00C244C0">
            <w:pPr>
              <w:rPr>
                <w:rFonts w:ascii="Arial" w:hAnsi="Arial" w:cs="Arial"/>
                <w:color w:val="165788"/>
              </w:rPr>
            </w:pPr>
            <w:r w:rsidRPr="00EB039D">
              <w:rPr>
                <w:rFonts w:ascii="Arial" w:hAnsi="Arial" w:cs="Arial"/>
                <w:color w:val="165788"/>
              </w:rPr>
              <w:t xml:space="preserve">Page </w:t>
            </w:r>
            <w:r w:rsidR="00C244C0">
              <w:rPr>
                <w:rFonts w:ascii="Arial" w:hAnsi="Arial" w:cs="Arial"/>
                <w:color w:val="165788"/>
              </w:rPr>
              <w:t>11</w:t>
            </w:r>
          </w:p>
        </w:tc>
        <w:tc>
          <w:tcPr>
            <w:tcW w:w="5168" w:type="dxa"/>
          </w:tcPr>
          <w:p w:rsidR="00F43EBB" w:rsidRPr="00EB039D" w:rsidRDefault="00F43EBB" w:rsidP="00684966">
            <w:pPr>
              <w:rPr>
                <w:rFonts w:ascii="Arial" w:hAnsi="Arial" w:cs="Arial"/>
                <w:color w:val="165788"/>
              </w:rPr>
            </w:pPr>
            <w:r w:rsidRPr="00EB039D">
              <w:rPr>
                <w:rFonts w:ascii="Arial" w:hAnsi="Arial" w:cs="Arial"/>
                <w:color w:val="165788"/>
              </w:rPr>
              <w:t>Economic Standards</w:t>
            </w:r>
          </w:p>
        </w:tc>
        <w:tc>
          <w:tcPr>
            <w:tcW w:w="6034" w:type="dxa"/>
          </w:tcPr>
          <w:p w:rsidR="00F43EBB" w:rsidRPr="00EB039D" w:rsidRDefault="00F43EBB" w:rsidP="00684966">
            <w:pPr>
              <w:rPr>
                <w:rFonts w:ascii="Arial" w:hAnsi="Arial" w:cs="Arial"/>
                <w:color w:val="165788"/>
              </w:rPr>
            </w:pPr>
          </w:p>
        </w:tc>
      </w:tr>
      <w:tr w:rsidR="00EB039D" w:rsidRPr="00EB039D" w:rsidTr="00F43EBB">
        <w:trPr>
          <w:trHeight w:val="737"/>
        </w:trPr>
        <w:tc>
          <w:tcPr>
            <w:tcW w:w="2756" w:type="dxa"/>
          </w:tcPr>
          <w:p w:rsidR="009F05D2" w:rsidRPr="00EB039D" w:rsidRDefault="009F05D2" w:rsidP="00C244C0">
            <w:pPr>
              <w:rPr>
                <w:rFonts w:ascii="Arial" w:hAnsi="Arial" w:cs="Arial"/>
                <w:color w:val="165788"/>
              </w:rPr>
            </w:pPr>
            <w:r w:rsidRPr="00EB039D">
              <w:rPr>
                <w:rFonts w:ascii="Arial" w:hAnsi="Arial" w:cs="Arial"/>
                <w:color w:val="165788"/>
              </w:rPr>
              <w:t xml:space="preserve">Page </w:t>
            </w:r>
            <w:r w:rsidR="00C244C0">
              <w:rPr>
                <w:rFonts w:ascii="Arial" w:hAnsi="Arial" w:cs="Arial"/>
                <w:color w:val="165788"/>
              </w:rPr>
              <w:t>13</w:t>
            </w:r>
          </w:p>
        </w:tc>
        <w:tc>
          <w:tcPr>
            <w:tcW w:w="5168" w:type="dxa"/>
          </w:tcPr>
          <w:p w:rsidR="00947885" w:rsidRPr="00EB039D" w:rsidRDefault="00920908" w:rsidP="00684966">
            <w:pPr>
              <w:rPr>
                <w:rFonts w:ascii="Arial" w:hAnsi="Arial" w:cs="Arial"/>
                <w:color w:val="165788"/>
              </w:rPr>
            </w:pPr>
            <w:r w:rsidRPr="00EB039D">
              <w:rPr>
                <w:rFonts w:ascii="Arial" w:hAnsi="Arial" w:cs="Arial"/>
                <w:color w:val="165788"/>
              </w:rPr>
              <w:t>Governance and Financial Viability</w:t>
            </w:r>
          </w:p>
        </w:tc>
        <w:tc>
          <w:tcPr>
            <w:tcW w:w="6034" w:type="dxa"/>
          </w:tcPr>
          <w:p w:rsidR="009F05D2" w:rsidRPr="00EB039D" w:rsidRDefault="000A51E7" w:rsidP="00684966">
            <w:pPr>
              <w:rPr>
                <w:rFonts w:ascii="Arial" w:hAnsi="Arial" w:cs="Arial"/>
                <w:color w:val="165788"/>
              </w:rPr>
            </w:pPr>
            <w:r w:rsidRPr="00EB039D">
              <w:rPr>
                <w:rFonts w:ascii="Arial" w:hAnsi="Arial" w:cs="Arial"/>
                <w:color w:val="165788"/>
              </w:rPr>
              <w:t xml:space="preserve">1.1 </w:t>
            </w:r>
            <w:r w:rsidR="00920908" w:rsidRPr="00EB039D">
              <w:rPr>
                <w:rFonts w:ascii="Arial" w:hAnsi="Arial" w:cs="Arial"/>
                <w:color w:val="165788"/>
              </w:rPr>
              <w:t>Governance</w:t>
            </w:r>
          </w:p>
        </w:tc>
      </w:tr>
      <w:tr w:rsidR="00EB039D" w:rsidRPr="00EB039D" w:rsidTr="00F43EBB">
        <w:trPr>
          <w:trHeight w:val="737"/>
        </w:trPr>
        <w:tc>
          <w:tcPr>
            <w:tcW w:w="2756" w:type="dxa"/>
          </w:tcPr>
          <w:p w:rsidR="00920908" w:rsidRPr="00EB039D" w:rsidRDefault="00920908" w:rsidP="00C244C0">
            <w:pPr>
              <w:rPr>
                <w:rFonts w:ascii="Arial" w:hAnsi="Arial" w:cs="Arial"/>
                <w:color w:val="165788"/>
              </w:rPr>
            </w:pPr>
            <w:r w:rsidRPr="00EB039D">
              <w:rPr>
                <w:rFonts w:ascii="Arial" w:hAnsi="Arial" w:cs="Arial"/>
                <w:color w:val="165788"/>
              </w:rPr>
              <w:t xml:space="preserve">Page </w:t>
            </w:r>
            <w:r w:rsidR="00166189" w:rsidRPr="00EB039D">
              <w:rPr>
                <w:rFonts w:ascii="Arial" w:hAnsi="Arial" w:cs="Arial"/>
                <w:color w:val="165788"/>
              </w:rPr>
              <w:t>1</w:t>
            </w:r>
            <w:r w:rsidR="00C244C0">
              <w:rPr>
                <w:rFonts w:ascii="Arial" w:hAnsi="Arial" w:cs="Arial"/>
                <w:color w:val="165788"/>
              </w:rPr>
              <w:t>7</w:t>
            </w:r>
          </w:p>
        </w:tc>
        <w:tc>
          <w:tcPr>
            <w:tcW w:w="5168" w:type="dxa"/>
          </w:tcPr>
          <w:p w:rsidR="00920908" w:rsidRPr="00EB039D" w:rsidRDefault="00920908" w:rsidP="00684966">
            <w:pPr>
              <w:rPr>
                <w:rFonts w:ascii="Arial" w:hAnsi="Arial" w:cs="Arial"/>
                <w:color w:val="165788"/>
              </w:rPr>
            </w:pPr>
            <w:r w:rsidRPr="00EB039D">
              <w:rPr>
                <w:rFonts w:ascii="Arial" w:hAnsi="Arial" w:cs="Arial"/>
                <w:color w:val="165788"/>
              </w:rPr>
              <w:t>Governance and Financial Viability</w:t>
            </w:r>
          </w:p>
        </w:tc>
        <w:tc>
          <w:tcPr>
            <w:tcW w:w="6034" w:type="dxa"/>
          </w:tcPr>
          <w:p w:rsidR="00920908" w:rsidRPr="00EB039D" w:rsidRDefault="000A51E7" w:rsidP="00684966">
            <w:pPr>
              <w:rPr>
                <w:rFonts w:ascii="Arial" w:hAnsi="Arial" w:cs="Arial"/>
                <w:color w:val="165788"/>
              </w:rPr>
            </w:pPr>
            <w:r w:rsidRPr="00EB039D">
              <w:rPr>
                <w:rFonts w:ascii="Arial" w:hAnsi="Arial" w:cs="Arial"/>
                <w:color w:val="165788"/>
              </w:rPr>
              <w:t>1.2</w:t>
            </w:r>
            <w:r w:rsidR="005A6E02" w:rsidRPr="00EB039D">
              <w:rPr>
                <w:rFonts w:ascii="Arial" w:hAnsi="Arial" w:cs="Arial"/>
                <w:color w:val="165788"/>
              </w:rPr>
              <w:t xml:space="preserve"> </w:t>
            </w:r>
            <w:r w:rsidR="00920908" w:rsidRPr="00EB039D">
              <w:rPr>
                <w:rFonts w:ascii="Arial" w:hAnsi="Arial" w:cs="Arial"/>
                <w:color w:val="165788"/>
              </w:rPr>
              <w:t>Financial Viability</w:t>
            </w:r>
          </w:p>
        </w:tc>
      </w:tr>
      <w:tr w:rsidR="00EB039D" w:rsidRPr="00EB039D" w:rsidTr="00F43EBB">
        <w:trPr>
          <w:trHeight w:val="737"/>
        </w:trPr>
        <w:tc>
          <w:tcPr>
            <w:tcW w:w="2756" w:type="dxa"/>
          </w:tcPr>
          <w:p w:rsidR="000A51E7" w:rsidRPr="00EB039D" w:rsidRDefault="000A51E7" w:rsidP="00C244C0">
            <w:pPr>
              <w:rPr>
                <w:rFonts w:ascii="Arial" w:hAnsi="Arial" w:cs="Arial"/>
                <w:color w:val="165788"/>
              </w:rPr>
            </w:pPr>
            <w:r w:rsidRPr="00EB039D">
              <w:rPr>
                <w:rFonts w:ascii="Arial" w:hAnsi="Arial" w:cs="Arial"/>
                <w:color w:val="165788"/>
              </w:rPr>
              <w:t xml:space="preserve">Page </w:t>
            </w:r>
            <w:r w:rsidR="00C244C0">
              <w:rPr>
                <w:rFonts w:ascii="Arial" w:hAnsi="Arial" w:cs="Arial"/>
                <w:color w:val="165788"/>
              </w:rPr>
              <w:t>20</w:t>
            </w:r>
          </w:p>
        </w:tc>
        <w:tc>
          <w:tcPr>
            <w:tcW w:w="5168" w:type="dxa"/>
          </w:tcPr>
          <w:p w:rsidR="000A51E7" w:rsidRPr="00EB039D" w:rsidRDefault="000A51E7" w:rsidP="00684966">
            <w:pPr>
              <w:rPr>
                <w:rFonts w:ascii="Arial" w:hAnsi="Arial" w:cs="Arial"/>
                <w:color w:val="165788"/>
              </w:rPr>
            </w:pPr>
            <w:r w:rsidRPr="00EB039D">
              <w:rPr>
                <w:rFonts w:ascii="Arial" w:hAnsi="Arial" w:cs="Arial"/>
                <w:color w:val="165788"/>
              </w:rPr>
              <w:t>Governance and Financial Viability</w:t>
            </w:r>
          </w:p>
        </w:tc>
        <w:tc>
          <w:tcPr>
            <w:tcW w:w="6034" w:type="dxa"/>
          </w:tcPr>
          <w:p w:rsidR="000A51E7" w:rsidRPr="00EB039D" w:rsidRDefault="00B34C54" w:rsidP="00684966">
            <w:pPr>
              <w:rPr>
                <w:rFonts w:ascii="Arial" w:hAnsi="Arial" w:cs="Arial"/>
                <w:color w:val="165788"/>
              </w:rPr>
            </w:pPr>
            <w:r w:rsidRPr="00EB039D">
              <w:rPr>
                <w:rFonts w:ascii="Arial" w:hAnsi="Arial" w:cs="Arial"/>
                <w:color w:val="165788"/>
              </w:rPr>
              <w:t>2.0 Specific Expectations Applicable to All RPs</w:t>
            </w:r>
          </w:p>
        </w:tc>
      </w:tr>
      <w:tr w:rsidR="00EB039D" w:rsidRPr="00EB039D" w:rsidTr="00F43EBB">
        <w:trPr>
          <w:trHeight w:val="737"/>
        </w:trPr>
        <w:tc>
          <w:tcPr>
            <w:tcW w:w="2756" w:type="dxa"/>
          </w:tcPr>
          <w:p w:rsidR="000A51E7" w:rsidRPr="00EB039D" w:rsidRDefault="00B34C54" w:rsidP="00C244C0">
            <w:pPr>
              <w:rPr>
                <w:rFonts w:ascii="Arial" w:hAnsi="Arial" w:cs="Arial"/>
                <w:color w:val="165788"/>
              </w:rPr>
            </w:pPr>
            <w:r w:rsidRPr="00EB039D">
              <w:rPr>
                <w:rFonts w:ascii="Arial" w:hAnsi="Arial" w:cs="Arial"/>
                <w:color w:val="165788"/>
              </w:rPr>
              <w:t xml:space="preserve">Page </w:t>
            </w:r>
            <w:r w:rsidR="00C50445" w:rsidRPr="00EB039D">
              <w:rPr>
                <w:rFonts w:ascii="Arial" w:hAnsi="Arial" w:cs="Arial"/>
                <w:color w:val="165788"/>
              </w:rPr>
              <w:t>3</w:t>
            </w:r>
            <w:r w:rsidR="00C244C0">
              <w:rPr>
                <w:rFonts w:ascii="Arial" w:hAnsi="Arial" w:cs="Arial"/>
                <w:color w:val="165788"/>
              </w:rPr>
              <w:t>3</w:t>
            </w:r>
          </w:p>
        </w:tc>
        <w:tc>
          <w:tcPr>
            <w:tcW w:w="5168" w:type="dxa"/>
          </w:tcPr>
          <w:p w:rsidR="000A51E7" w:rsidRPr="00EB039D" w:rsidRDefault="00B34C54" w:rsidP="00684966">
            <w:pPr>
              <w:rPr>
                <w:rFonts w:ascii="Arial" w:hAnsi="Arial" w:cs="Arial"/>
                <w:color w:val="165788"/>
              </w:rPr>
            </w:pPr>
            <w:r w:rsidRPr="00EB039D">
              <w:rPr>
                <w:rFonts w:ascii="Arial" w:hAnsi="Arial" w:cs="Arial"/>
                <w:color w:val="165788"/>
              </w:rPr>
              <w:t>Governance and Financial Viability</w:t>
            </w:r>
          </w:p>
        </w:tc>
        <w:tc>
          <w:tcPr>
            <w:tcW w:w="6034" w:type="dxa"/>
          </w:tcPr>
          <w:p w:rsidR="000A51E7" w:rsidRPr="00EB039D" w:rsidRDefault="00B34C54" w:rsidP="005A6E02">
            <w:pPr>
              <w:ind w:left="473" w:hanging="473"/>
              <w:rPr>
                <w:rFonts w:ascii="Arial" w:hAnsi="Arial" w:cs="Arial"/>
                <w:color w:val="165788"/>
              </w:rPr>
            </w:pPr>
            <w:r w:rsidRPr="00EB039D">
              <w:rPr>
                <w:rFonts w:ascii="Arial" w:hAnsi="Arial" w:cs="Arial"/>
                <w:color w:val="165788"/>
              </w:rPr>
              <w:t>3.0 Specific Expectations Applicable to Specific Categories of RPs</w:t>
            </w:r>
          </w:p>
        </w:tc>
      </w:tr>
      <w:tr w:rsidR="00EB039D" w:rsidRPr="00EB039D" w:rsidTr="00F43EBB">
        <w:trPr>
          <w:trHeight w:val="737"/>
        </w:trPr>
        <w:tc>
          <w:tcPr>
            <w:tcW w:w="2756" w:type="dxa"/>
          </w:tcPr>
          <w:p w:rsidR="009F05D2" w:rsidRPr="00EB039D" w:rsidRDefault="009F05D2" w:rsidP="00A63C00">
            <w:pPr>
              <w:rPr>
                <w:rFonts w:ascii="Arial" w:hAnsi="Arial" w:cs="Arial"/>
                <w:color w:val="165788"/>
              </w:rPr>
            </w:pPr>
            <w:r w:rsidRPr="00EB039D">
              <w:rPr>
                <w:rFonts w:ascii="Arial" w:hAnsi="Arial" w:cs="Arial"/>
                <w:color w:val="165788"/>
              </w:rPr>
              <w:t xml:space="preserve">Page </w:t>
            </w:r>
            <w:r w:rsidR="00166189" w:rsidRPr="00EB039D">
              <w:rPr>
                <w:rFonts w:ascii="Arial" w:hAnsi="Arial" w:cs="Arial"/>
                <w:color w:val="165788"/>
              </w:rPr>
              <w:t>3</w:t>
            </w:r>
            <w:r w:rsidR="00A63C00">
              <w:rPr>
                <w:rFonts w:ascii="Arial" w:hAnsi="Arial" w:cs="Arial"/>
                <w:color w:val="165788"/>
              </w:rPr>
              <w:t>5</w:t>
            </w:r>
          </w:p>
        </w:tc>
        <w:tc>
          <w:tcPr>
            <w:tcW w:w="5168" w:type="dxa"/>
          </w:tcPr>
          <w:p w:rsidR="00947885" w:rsidRPr="00EB039D" w:rsidRDefault="00920908" w:rsidP="00684966">
            <w:pPr>
              <w:rPr>
                <w:rFonts w:ascii="Arial" w:hAnsi="Arial" w:cs="Arial"/>
                <w:color w:val="165788"/>
              </w:rPr>
            </w:pPr>
            <w:r w:rsidRPr="00EB039D">
              <w:rPr>
                <w:rFonts w:ascii="Arial" w:hAnsi="Arial" w:cs="Arial"/>
                <w:color w:val="165788"/>
              </w:rPr>
              <w:t>Value for Money</w:t>
            </w:r>
          </w:p>
        </w:tc>
        <w:tc>
          <w:tcPr>
            <w:tcW w:w="6034" w:type="dxa"/>
          </w:tcPr>
          <w:p w:rsidR="009F05D2" w:rsidRPr="00EB039D" w:rsidRDefault="00920908" w:rsidP="00684966">
            <w:pPr>
              <w:rPr>
                <w:rFonts w:ascii="Arial" w:hAnsi="Arial" w:cs="Arial"/>
                <w:color w:val="165788"/>
              </w:rPr>
            </w:pPr>
            <w:r w:rsidRPr="00EB039D">
              <w:rPr>
                <w:rFonts w:ascii="Arial" w:hAnsi="Arial" w:cs="Arial"/>
                <w:color w:val="165788"/>
              </w:rPr>
              <w:t>Value for Money</w:t>
            </w:r>
          </w:p>
        </w:tc>
      </w:tr>
      <w:tr w:rsidR="00EB039D" w:rsidRPr="00EB039D" w:rsidTr="00F43EBB">
        <w:trPr>
          <w:trHeight w:val="737"/>
        </w:trPr>
        <w:tc>
          <w:tcPr>
            <w:tcW w:w="2756" w:type="dxa"/>
          </w:tcPr>
          <w:p w:rsidR="009F05D2" w:rsidRPr="00EB039D" w:rsidRDefault="009F05D2" w:rsidP="00A63C00">
            <w:pPr>
              <w:rPr>
                <w:rFonts w:ascii="Arial" w:hAnsi="Arial" w:cs="Arial"/>
                <w:color w:val="165788"/>
              </w:rPr>
            </w:pPr>
            <w:r w:rsidRPr="00EB039D">
              <w:rPr>
                <w:rFonts w:ascii="Arial" w:hAnsi="Arial" w:cs="Arial"/>
                <w:color w:val="165788"/>
              </w:rPr>
              <w:t xml:space="preserve">Page </w:t>
            </w:r>
            <w:r w:rsidR="00C50445" w:rsidRPr="00EB039D">
              <w:rPr>
                <w:rFonts w:ascii="Arial" w:hAnsi="Arial" w:cs="Arial"/>
                <w:color w:val="165788"/>
              </w:rPr>
              <w:t>4</w:t>
            </w:r>
            <w:r w:rsidR="00A63C00">
              <w:rPr>
                <w:rFonts w:ascii="Arial" w:hAnsi="Arial" w:cs="Arial"/>
                <w:color w:val="165788"/>
              </w:rPr>
              <w:t>1</w:t>
            </w:r>
          </w:p>
        </w:tc>
        <w:tc>
          <w:tcPr>
            <w:tcW w:w="5168" w:type="dxa"/>
          </w:tcPr>
          <w:p w:rsidR="00947885" w:rsidRPr="00EB039D" w:rsidRDefault="00920908" w:rsidP="00684966">
            <w:pPr>
              <w:rPr>
                <w:rFonts w:ascii="Arial" w:hAnsi="Arial" w:cs="Arial"/>
                <w:color w:val="165788"/>
              </w:rPr>
            </w:pPr>
            <w:r w:rsidRPr="00EB039D">
              <w:rPr>
                <w:rFonts w:ascii="Arial" w:hAnsi="Arial" w:cs="Arial"/>
                <w:color w:val="165788"/>
              </w:rPr>
              <w:t>Rents</w:t>
            </w:r>
          </w:p>
        </w:tc>
        <w:tc>
          <w:tcPr>
            <w:tcW w:w="6034" w:type="dxa"/>
          </w:tcPr>
          <w:p w:rsidR="009F05D2" w:rsidRPr="00EB039D" w:rsidRDefault="00920908" w:rsidP="00684966">
            <w:pPr>
              <w:rPr>
                <w:rFonts w:ascii="Arial" w:hAnsi="Arial" w:cs="Arial"/>
                <w:color w:val="165788"/>
              </w:rPr>
            </w:pPr>
            <w:r w:rsidRPr="00EB039D">
              <w:rPr>
                <w:rFonts w:ascii="Arial" w:hAnsi="Arial" w:cs="Arial"/>
                <w:color w:val="165788"/>
              </w:rPr>
              <w:t>Rents</w:t>
            </w:r>
          </w:p>
        </w:tc>
      </w:tr>
    </w:tbl>
    <w:p w:rsidR="00684966" w:rsidRPr="00EB039D" w:rsidRDefault="00684966">
      <w:pPr>
        <w:rPr>
          <w:rFonts w:ascii="Arial" w:hAnsi="Arial" w:cs="Arial"/>
          <w:b/>
          <w:color w:val="165788"/>
        </w:rPr>
      </w:pPr>
      <w:r w:rsidRPr="00EB039D">
        <w:rPr>
          <w:rFonts w:ascii="Arial" w:hAnsi="Arial" w:cs="Arial"/>
          <w:b/>
          <w:color w:val="165788"/>
        </w:rPr>
        <w:lastRenderedPageBreak/>
        <w:t>Key Regulatory Documents:</w:t>
      </w:r>
    </w:p>
    <w:p w:rsidR="00684966" w:rsidRPr="00EB039D" w:rsidRDefault="00684966">
      <w:pPr>
        <w:rPr>
          <w:rFonts w:ascii="Arial" w:hAnsi="Arial" w:cs="Arial"/>
          <w:color w:val="165788"/>
        </w:rPr>
      </w:pPr>
    </w:p>
    <w:p w:rsidR="00EB039D" w:rsidRPr="00EB039D" w:rsidRDefault="00EB039D" w:rsidP="00EB039D">
      <w:pPr>
        <w:pStyle w:val="ListParagraph"/>
        <w:numPr>
          <w:ilvl w:val="0"/>
          <w:numId w:val="19"/>
        </w:numPr>
        <w:ind w:hanging="720"/>
        <w:rPr>
          <w:rFonts w:ascii="Arial" w:hAnsi="Arial" w:cs="Arial"/>
          <w:color w:val="165788"/>
        </w:rPr>
      </w:pPr>
      <w:r w:rsidRPr="00EB039D">
        <w:rPr>
          <w:rFonts w:ascii="Arial" w:hAnsi="Arial" w:cs="Arial"/>
          <w:color w:val="165788"/>
        </w:rPr>
        <w:t>Regulating the Standards: Homes &amp; Communities Agency (HCA) July 2017</w:t>
      </w:r>
    </w:p>
    <w:p w:rsidR="00EB039D" w:rsidRPr="00EB039D" w:rsidRDefault="00EB039D" w:rsidP="00EB039D">
      <w:pPr>
        <w:pStyle w:val="ListParagraph"/>
        <w:numPr>
          <w:ilvl w:val="0"/>
          <w:numId w:val="19"/>
        </w:numPr>
        <w:ind w:hanging="720"/>
        <w:rPr>
          <w:rFonts w:ascii="Arial" w:hAnsi="Arial" w:cs="Arial"/>
          <w:color w:val="165788"/>
        </w:rPr>
      </w:pPr>
      <w:r w:rsidRPr="00EB039D">
        <w:rPr>
          <w:rFonts w:ascii="Arial" w:hAnsi="Arial" w:cs="Arial"/>
          <w:color w:val="165788"/>
        </w:rPr>
        <w:t>Regulating the Standards: Regulator of Social Housing (RSH) April 2018</w:t>
      </w:r>
    </w:p>
    <w:p w:rsidR="00151C12" w:rsidRPr="00EB039D" w:rsidRDefault="00151C12" w:rsidP="00896CA9">
      <w:pPr>
        <w:pStyle w:val="ListParagraph"/>
        <w:numPr>
          <w:ilvl w:val="0"/>
          <w:numId w:val="19"/>
        </w:numPr>
        <w:ind w:hanging="720"/>
        <w:rPr>
          <w:rFonts w:ascii="Arial" w:hAnsi="Arial" w:cs="Arial"/>
          <w:color w:val="165788"/>
        </w:rPr>
      </w:pPr>
      <w:r w:rsidRPr="00EB039D">
        <w:rPr>
          <w:rFonts w:ascii="Arial" w:hAnsi="Arial" w:cs="Arial"/>
          <w:color w:val="165788"/>
        </w:rPr>
        <w:t xml:space="preserve">Governance &amp; Financial Viability Standard </w:t>
      </w:r>
      <w:r w:rsidR="00910443">
        <w:rPr>
          <w:rFonts w:ascii="Arial" w:hAnsi="Arial" w:cs="Arial"/>
          <w:color w:val="165788"/>
        </w:rPr>
        <w:t xml:space="preserve">HCA </w:t>
      </w:r>
      <w:r w:rsidRPr="00EB039D">
        <w:rPr>
          <w:rFonts w:ascii="Arial" w:hAnsi="Arial" w:cs="Arial"/>
          <w:color w:val="165788"/>
        </w:rPr>
        <w:t>April 2015</w:t>
      </w:r>
    </w:p>
    <w:p w:rsidR="00151C12" w:rsidRPr="00EB039D" w:rsidRDefault="00151C12" w:rsidP="00896CA9">
      <w:pPr>
        <w:pStyle w:val="ListParagraph"/>
        <w:numPr>
          <w:ilvl w:val="0"/>
          <w:numId w:val="19"/>
        </w:numPr>
        <w:ind w:hanging="720"/>
        <w:rPr>
          <w:rFonts w:ascii="Arial" w:hAnsi="Arial" w:cs="Arial"/>
          <w:color w:val="165788"/>
        </w:rPr>
      </w:pPr>
      <w:r w:rsidRPr="00EB039D">
        <w:rPr>
          <w:rFonts w:ascii="Arial" w:hAnsi="Arial" w:cs="Arial"/>
          <w:color w:val="165788"/>
        </w:rPr>
        <w:t>Governance &amp; Financial Viability Standard Code of Practice</w:t>
      </w:r>
      <w:r w:rsidR="00910443">
        <w:rPr>
          <w:rFonts w:ascii="Arial" w:hAnsi="Arial" w:cs="Arial"/>
          <w:color w:val="165788"/>
        </w:rPr>
        <w:t xml:space="preserve"> HCA </w:t>
      </w:r>
      <w:r w:rsidRPr="00EB039D">
        <w:rPr>
          <w:rFonts w:ascii="Arial" w:hAnsi="Arial" w:cs="Arial"/>
          <w:color w:val="165788"/>
        </w:rPr>
        <w:t>April 2015</w:t>
      </w:r>
    </w:p>
    <w:p w:rsidR="00151C12" w:rsidRDefault="00151C12" w:rsidP="00896CA9">
      <w:pPr>
        <w:pStyle w:val="ListParagraph"/>
        <w:numPr>
          <w:ilvl w:val="0"/>
          <w:numId w:val="19"/>
        </w:numPr>
        <w:ind w:hanging="720"/>
        <w:rPr>
          <w:rFonts w:ascii="Arial" w:hAnsi="Arial" w:cs="Arial"/>
          <w:color w:val="165788"/>
        </w:rPr>
      </w:pPr>
      <w:r w:rsidRPr="00EB039D">
        <w:rPr>
          <w:rFonts w:ascii="Arial" w:hAnsi="Arial" w:cs="Arial"/>
          <w:color w:val="165788"/>
        </w:rPr>
        <w:t xml:space="preserve">Value for Money Standard </w:t>
      </w:r>
      <w:r w:rsidR="00910443">
        <w:rPr>
          <w:rFonts w:ascii="Arial" w:hAnsi="Arial" w:cs="Arial"/>
          <w:color w:val="165788"/>
        </w:rPr>
        <w:t xml:space="preserve">HCA </w:t>
      </w:r>
      <w:r w:rsidRPr="00EB039D">
        <w:rPr>
          <w:rFonts w:ascii="Arial" w:hAnsi="Arial" w:cs="Arial"/>
          <w:color w:val="165788"/>
        </w:rPr>
        <w:t>April 2012</w:t>
      </w:r>
    </w:p>
    <w:p w:rsidR="00EB039D" w:rsidRDefault="00EB039D" w:rsidP="00896CA9">
      <w:pPr>
        <w:pStyle w:val="ListParagraph"/>
        <w:numPr>
          <w:ilvl w:val="0"/>
          <w:numId w:val="19"/>
        </w:numPr>
        <w:ind w:hanging="720"/>
        <w:rPr>
          <w:rFonts w:ascii="Arial" w:hAnsi="Arial" w:cs="Arial"/>
          <w:color w:val="165788"/>
        </w:rPr>
      </w:pPr>
      <w:r>
        <w:rPr>
          <w:rFonts w:ascii="Arial" w:hAnsi="Arial" w:cs="Arial"/>
          <w:color w:val="165788"/>
        </w:rPr>
        <w:t xml:space="preserve">Value for Money Standard </w:t>
      </w:r>
      <w:r w:rsidR="00910443">
        <w:rPr>
          <w:rFonts w:ascii="Arial" w:hAnsi="Arial" w:cs="Arial"/>
          <w:color w:val="165788"/>
        </w:rPr>
        <w:t xml:space="preserve">RSH </w:t>
      </w:r>
      <w:r>
        <w:rPr>
          <w:rFonts w:ascii="Arial" w:hAnsi="Arial" w:cs="Arial"/>
          <w:color w:val="165788"/>
        </w:rPr>
        <w:t>April 201</w:t>
      </w:r>
      <w:r w:rsidR="00D4704C">
        <w:rPr>
          <w:rFonts w:ascii="Arial" w:hAnsi="Arial" w:cs="Arial"/>
          <w:color w:val="165788"/>
        </w:rPr>
        <w:t>8</w:t>
      </w:r>
    </w:p>
    <w:p w:rsidR="00D4704C" w:rsidRDefault="00D4704C" w:rsidP="00896CA9">
      <w:pPr>
        <w:pStyle w:val="ListParagraph"/>
        <w:numPr>
          <w:ilvl w:val="0"/>
          <w:numId w:val="19"/>
        </w:numPr>
        <w:ind w:hanging="720"/>
        <w:rPr>
          <w:rFonts w:ascii="Arial" w:hAnsi="Arial" w:cs="Arial"/>
          <w:color w:val="165788"/>
        </w:rPr>
      </w:pPr>
      <w:r>
        <w:rPr>
          <w:rFonts w:ascii="Arial" w:hAnsi="Arial" w:cs="Arial"/>
          <w:color w:val="165788"/>
        </w:rPr>
        <w:t xml:space="preserve">Value for Money Code of Practice </w:t>
      </w:r>
      <w:r w:rsidR="00910443">
        <w:rPr>
          <w:rFonts w:ascii="Arial" w:hAnsi="Arial" w:cs="Arial"/>
          <w:color w:val="165788"/>
        </w:rPr>
        <w:t xml:space="preserve">RSH </w:t>
      </w:r>
      <w:r>
        <w:rPr>
          <w:rFonts w:ascii="Arial" w:hAnsi="Arial" w:cs="Arial"/>
          <w:color w:val="165788"/>
        </w:rPr>
        <w:t>April 2018</w:t>
      </w:r>
    </w:p>
    <w:p w:rsidR="00D4704C" w:rsidRPr="00EB039D" w:rsidRDefault="00D4704C" w:rsidP="00896CA9">
      <w:pPr>
        <w:pStyle w:val="ListParagraph"/>
        <w:numPr>
          <w:ilvl w:val="0"/>
          <w:numId w:val="19"/>
        </w:numPr>
        <w:ind w:hanging="720"/>
        <w:rPr>
          <w:rFonts w:ascii="Arial" w:hAnsi="Arial" w:cs="Arial"/>
          <w:color w:val="165788"/>
        </w:rPr>
      </w:pPr>
      <w:r>
        <w:rPr>
          <w:rFonts w:ascii="Arial" w:hAnsi="Arial" w:cs="Arial"/>
          <w:color w:val="165788"/>
        </w:rPr>
        <w:t xml:space="preserve">Value for Money Metrics Technical Note and Appendices </w:t>
      </w:r>
      <w:r w:rsidR="00910443">
        <w:rPr>
          <w:rFonts w:ascii="Arial" w:hAnsi="Arial" w:cs="Arial"/>
          <w:color w:val="165788"/>
        </w:rPr>
        <w:t xml:space="preserve">RSH </w:t>
      </w:r>
      <w:r>
        <w:rPr>
          <w:rFonts w:ascii="Arial" w:hAnsi="Arial" w:cs="Arial"/>
          <w:color w:val="165788"/>
        </w:rPr>
        <w:t>April 2018</w:t>
      </w:r>
    </w:p>
    <w:p w:rsidR="00151C12" w:rsidRPr="00EB039D" w:rsidRDefault="00151C12" w:rsidP="00896CA9">
      <w:pPr>
        <w:pStyle w:val="ListParagraph"/>
        <w:numPr>
          <w:ilvl w:val="0"/>
          <w:numId w:val="19"/>
        </w:numPr>
        <w:ind w:hanging="720"/>
        <w:rPr>
          <w:rFonts w:ascii="Arial" w:hAnsi="Arial" w:cs="Arial"/>
          <w:color w:val="165788"/>
        </w:rPr>
      </w:pPr>
      <w:r w:rsidRPr="00EB039D">
        <w:rPr>
          <w:rFonts w:ascii="Arial" w:hAnsi="Arial" w:cs="Arial"/>
          <w:color w:val="165788"/>
        </w:rPr>
        <w:t xml:space="preserve">Rent Standard April </w:t>
      </w:r>
      <w:r w:rsidR="00910443">
        <w:rPr>
          <w:rFonts w:ascii="Arial" w:hAnsi="Arial" w:cs="Arial"/>
          <w:color w:val="165788"/>
        </w:rPr>
        <w:t xml:space="preserve">HCA </w:t>
      </w:r>
      <w:r w:rsidRPr="00EB039D">
        <w:rPr>
          <w:rFonts w:ascii="Arial" w:hAnsi="Arial" w:cs="Arial"/>
          <w:color w:val="165788"/>
        </w:rPr>
        <w:t xml:space="preserve">2015 </w:t>
      </w:r>
    </w:p>
    <w:p w:rsidR="002978D6" w:rsidRDefault="002978D6" w:rsidP="00896CA9">
      <w:pPr>
        <w:pStyle w:val="ListParagraph"/>
        <w:numPr>
          <w:ilvl w:val="0"/>
          <w:numId w:val="19"/>
        </w:numPr>
        <w:ind w:hanging="720"/>
        <w:rPr>
          <w:rFonts w:ascii="Arial" w:hAnsi="Arial" w:cs="Arial"/>
          <w:color w:val="165788"/>
        </w:rPr>
      </w:pPr>
      <w:r w:rsidRPr="00EB039D">
        <w:rPr>
          <w:rFonts w:ascii="Arial" w:hAnsi="Arial" w:cs="Arial"/>
          <w:color w:val="165788"/>
        </w:rPr>
        <w:t xml:space="preserve">Rent Standard Guidance </w:t>
      </w:r>
      <w:r w:rsidR="00910443">
        <w:rPr>
          <w:rFonts w:ascii="Arial" w:hAnsi="Arial" w:cs="Arial"/>
          <w:color w:val="165788"/>
        </w:rPr>
        <w:t xml:space="preserve">HCA </w:t>
      </w:r>
      <w:r w:rsidRPr="00EB039D">
        <w:rPr>
          <w:rFonts w:ascii="Arial" w:hAnsi="Arial" w:cs="Arial"/>
          <w:color w:val="165788"/>
        </w:rPr>
        <w:t>April 2015</w:t>
      </w:r>
    </w:p>
    <w:p w:rsidR="00282EE1" w:rsidRDefault="00282EE1" w:rsidP="00896CA9">
      <w:pPr>
        <w:pStyle w:val="ListParagraph"/>
        <w:numPr>
          <w:ilvl w:val="0"/>
          <w:numId w:val="19"/>
        </w:numPr>
        <w:ind w:hanging="720"/>
        <w:rPr>
          <w:rFonts w:ascii="Arial" w:hAnsi="Arial" w:cs="Arial"/>
          <w:color w:val="165788"/>
        </w:rPr>
      </w:pPr>
      <w:r>
        <w:rPr>
          <w:rFonts w:ascii="Arial" w:hAnsi="Arial" w:cs="Arial"/>
          <w:color w:val="165788"/>
        </w:rPr>
        <w:t>Guidance for Private Registered Providers on how to notify the regulator about the disposal of social housing dwellings HCA March 2017</w:t>
      </w:r>
    </w:p>
    <w:p w:rsidR="00282EE1" w:rsidRDefault="00282EE1" w:rsidP="00896CA9">
      <w:pPr>
        <w:pStyle w:val="ListParagraph"/>
        <w:numPr>
          <w:ilvl w:val="0"/>
          <w:numId w:val="19"/>
        </w:numPr>
        <w:ind w:hanging="720"/>
        <w:rPr>
          <w:rFonts w:ascii="Arial" w:hAnsi="Arial" w:cs="Arial"/>
          <w:color w:val="165788"/>
        </w:rPr>
      </w:pPr>
      <w:r>
        <w:rPr>
          <w:rFonts w:ascii="Arial" w:hAnsi="Arial" w:cs="Arial"/>
          <w:color w:val="165788"/>
        </w:rPr>
        <w:t>Decision Instrument Number 14 Direction about notification of disposals of social housing dwellings and of land other than a dwelling HCA 2017</w:t>
      </w:r>
    </w:p>
    <w:p w:rsidR="00282EE1" w:rsidRDefault="00282EE1" w:rsidP="00896CA9">
      <w:pPr>
        <w:pStyle w:val="ListParagraph"/>
        <w:numPr>
          <w:ilvl w:val="0"/>
          <w:numId w:val="19"/>
        </w:numPr>
        <w:ind w:hanging="720"/>
        <w:rPr>
          <w:rFonts w:ascii="Arial" w:hAnsi="Arial" w:cs="Arial"/>
          <w:color w:val="165788"/>
        </w:rPr>
      </w:pPr>
      <w:r>
        <w:rPr>
          <w:rFonts w:ascii="Arial" w:hAnsi="Arial" w:cs="Arial"/>
          <w:color w:val="165788"/>
        </w:rPr>
        <w:t>Direction of the social housing regulator about notifications of disposal of social housing dwellings and of land other than a dwelling HCA 2017</w:t>
      </w:r>
    </w:p>
    <w:p w:rsidR="00282EE1" w:rsidRDefault="00282EE1" w:rsidP="00896CA9">
      <w:pPr>
        <w:pStyle w:val="ListParagraph"/>
        <w:numPr>
          <w:ilvl w:val="0"/>
          <w:numId w:val="19"/>
        </w:numPr>
        <w:ind w:hanging="720"/>
        <w:rPr>
          <w:rFonts w:ascii="Arial" w:hAnsi="Arial" w:cs="Arial"/>
          <w:color w:val="165788"/>
        </w:rPr>
      </w:pPr>
      <w:r>
        <w:rPr>
          <w:rFonts w:ascii="Arial" w:hAnsi="Arial" w:cs="Arial"/>
          <w:color w:val="165788"/>
        </w:rPr>
        <w:t>Direction of the social housing regulator about notification of Registered Society restructuring, company arrangements and reconstruction, Registered Society dissolution and constitutional changes. HCA April 2017.</w:t>
      </w:r>
    </w:p>
    <w:p w:rsidR="00282EE1" w:rsidRPr="00EB039D" w:rsidRDefault="00282EE1" w:rsidP="00896CA9">
      <w:pPr>
        <w:pStyle w:val="ListParagraph"/>
        <w:numPr>
          <w:ilvl w:val="0"/>
          <w:numId w:val="19"/>
        </w:numPr>
        <w:ind w:hanging="720"/>
        <w:rPr>
          <w:rFonts w:ascii="Arial" w:hAnsi="Arial" w:cs="Arial"/>
          <w:color w:val="165788"/>
        </w:rPr>
      </w:pPr>
      <w:r>
        <w:rPr>
          <w:rFonts w:ascii="Arial" w:hAnsi="Arial" w:cs="Arial"/>
          <w:color w:val="165788"/>
        </w:rPr>
        <w:t xml:space="preserve">Guidance for non-profit Private Registered Providers undergoing a restructure or amending their governing documents. HCA March 2017 </w:t>
      </w:r>
    </w:p>
    <w:p w:rsidR="00BB4958" w:rsidRPr="00EB039D" w:rsidRDefault="00BB4958" w:rsidP="00896CA9">
      <w:pPr>
        <w:pStyle w:val="ListParagraph"/>
        <w:numPr>
          <w:ilvl w:val="0"/>
          <w:numId w:val="19"/>
        </w:numPr>
        <w:ind w:hanging="720"/>
        <w:rPr>
          <w:rFonts w:ascii="Arial" w:hAnsi="Arial" w:cs="Arial"/>
          <w:color w:val="165788"/>
        </w:rPr>
      </w:pPr>
      <w:r w:rsidRPr="00EB039D">
        <w:rPr>
          <w:rFonts w:ascii="Arial" w:hAnsi="Arial" w:cs="Arial"/>
          <w:color w:val="165788"/>
        </w:rPr>
        <w:t xml:space="preserve">Explanatory note for making a formal application for an exemption to the rent reductions in the Welfare Reform and Work Act 2016. </w:t>
      </w:r>
    </w:p>
    <w:p w:rsidR="00151C12" w:rsidRPr="00EB039D" w:rsidRDefault="00151C12" w:rsidP="00896CA9">
      <w:pPr>
        <w:pStyle w:val="ListParagraph"/>
        <w:numPr>
          <w:ilvl w:val="0"/>
          <w:numId w:val="19"/>
        </w:numPr>
        <w:ind w:hanging="720"/>
        <w:rPr>
          <w:rFonts w:ascii="Arial" w:hAnsi="Arial" w:cs="Arial"/>
          <w:color w:val="165788"/>
        </w:rPr>
      </w:pPr>
      <w:r w:rsidRPr="00EB039D">
        <w:rPr>
          <w:rFonts w:ascii="Arial" w:hAnsi="Arial" w:cs="Arial"/>
          <w:color w:val="165788"/>
        </w:rPr>
        <w:t xml:space="preserve">The Accounting direction for private registered providers of social housing from </w:t>
      </w:r>
      <w:r w:rsidR="009F6DA8" w:rsidRPr="00EB039D">
        <w:rPr>
          <w:rFonts w:ascii="Arial" w:hAnsi="Arial" w:cs="Arial"/>
          <w:color w:val="165788"/>
        </w:rPr>
        <w:t xml:space="preserve">September </w:t>
      </w:r>
      <w:r w:rsidRPr="00EB039D">
        <w:rPr>
          <w:rFonts w:ascii="Arial" w:hAnsi="Arial" w:cs="Arial"/>
          <w:color w:val="165788"/>
        </w:rPr>
        <w:t>2015</w:t>
      </w:r>
    </w:p>
    <w:p w:rsidR="002978D6" w:rsidRPr="00EB039D" w:rsidRDefault="002978D6" w:rsidP="00896CA9">
      <w:pPr>
        <w:pStyle w:val="ListParagraph"/>
        <w:numPr>
          <w:ilvl w:val="0"/>
          <w:numId w:val="19"/>
        </w:numPr>
        <w:ind w:hanging="720"/>
        <w:rPr>
          <w:rFonts w:ascii="Arial" w:hAnsi="Arial" w:cs="Arial"/>
          <w:color w:val="165788"/>
        </w:rPr>
      </w:pPr>
      <w:r w:rsidRPr="00EB039D">
        <w:rPr>
          <w:rFonts w:ascii="Arial" w:hAnsi="Arial" w:cs="Arial"/>
          <w:color w:val="165788"/>
        </w:rPr>
        <w:t>Welfare Reform &amp; Work Act 2016</w:t>
      </w:r>
    </w:p>
    <w:p w:rsidR="002978D6" w:rsidRDefault="002978D6" w:rsidP="00896CA9">
      <w:pPr>
        <w:pStyle w:val="ListParagraph"/>
        <w:numPr>
          <w:ilvl w:val="0"/>
          <w:numId w:val="19"/>
        </w:numPr>
        <w:ind w:hanging="720"/>
        <w:rPr>
          <w:rFonts w:ascii="Arial" w:hAnsi="Arial" w:cs="Arial"/>
          <w:color w:val="165788"/>
          <w:lang w:eastAsia="en-GB" w:bidi="ar-SA"/>
        </w:rPr>
      </w:pPr>
      <w:r w:rsidRPr="00EB039D">
        <w:rPr>
          <w:rFonts w:ascii="Arial" w:hAnsi="Arial" w:cs="Arial"/>
          <w:color w:val="165788"/>
        </w:rPr>
        <w:t>The Social Housing Rents (Exemptions and Miscellaneous Provisions) Regulations 201</w:t>
      </w:r>
      <w:r w:rsidR="009F6DA8" w:rsidRPr="00EB039D">
        <w:rPr>
          <w:rFonts w:ascii="Arial" w:hAnsi="Arial" w:cs="Arial"/>
          <w:color w:val="165788"/>
        </w:rPr>
        <w:t>7</w:t>
      </w:r>
    </w:p>
    <w:p w:rsidR="00151C12" w:rsidRDefault="00151C12" w:rsidP="00151C12">
      <w:pPr>
        <w:overflowPunct w:val="0"/>
        <w:autoSpaceDE w:val="0"/>
        <w:autoSpaceDN w:val="0"/>
        <w:adjustRightInd w:val="0"/>
        <w:ind w:left="359"/>
        <w:textAlignment w:val="baseline"/>
        <w:rPr>
          <w:rFonts w:ascii="Arial" w:hAnsi="Arial" w:cs="Arial"/>
          <w:b/>
          <w:caps/>
          <w:color w:val="165788"/>
          <w:sz w:val="22"/>
          <w:szCs w:val="22"/>
        </w:rPr>
      </w:pPr>
    </w:p>
    <w:p w:rsidR="00282EE1" w:rsidRDefault="00282EE1" w:rsidP="00151C12">
      <w:pPr>
        <w:overflowPunct w:val="0"/>
        <w:autoSpaceDE w:val="0"/>
        <w:autoSpaceDN w:val="0"/>
        <w:adjustRightInd w:val="0"/>
        <w:ind w:left="359"/>
        <w:textAlignment w:val="baseline"/>
        <w:rPr>
          <w:rFonts w:ascii="Arial" w:hAnsi="Arial" w:cs="Arial"/>
          <w:b/>
          <w:caps/>
          <w:color w:val="165788"/>
          <w:sz w:val="22"/>
          <w:szCs w:val="22"/>
        </w:rPr>
      </w:pPr>
    </w:p>
    <w:p w:rsidR="00282EE1" w:rsidRDefault="00282EE1" w:rsidP="00151C12">
      <w:pPr>
        <w:overflowPunct w:val="0"/>
        <w:autoSpaceDE w:val="0"/>
        <w:autoSpaceDN w:val="0"/>
        <w:adjustRightInd w:val="0"/>
        <w:ind w:left="359"/>
        <w:textAlignment w:val="baseline"/>
        <w:rPr>
          <w:rFonts w:ascii="Arial" w:hAnsi="Arial" w:cs="Arial"/>
          <w:b/>
          <w:caps/>
          <w:color w:val="165788"/>
          <w:sz w:val="22"/>
          <w:szCs w:val="22"/>
        </w:rPr>
      </w:pPr>
    </w:p>
    <w:p w:rsidR="00282EE1" w:rsidRPr="00EB039D" w:rsidRDefault="00282EE1" w:rsidP="00151C12">
      <w:pPr>
        <w:overflowPunct w:val="0"/>
        <w:autoSpaceDE w:val="0"/>
        <w:autoSpaceDN w:val="0"/>
        <w:adjustRightInd w:val="0"/>
        <w:ind w:left="359"/>
        <w:textAlignment w:val="baseline"/>
        <w:rPr>
          <w:rFonts w:ascii="Arial" w:hAnsi="Arial" w:cs="Arial"/>
          <w:b/>
          <w:caps/>
          <w:color w:val="165788"/>
          <w:sz w:val="22"/>
          <w:szCs w:val="22"/>
        </w:rPr>
      </w:pPr>
    </w:p>
    <w:p w:rsidR="005D2078" w:rsidRPr="00EB039D" w:rsidRDefault="005D2078">
      <w:pPr>
        <w:rPr>
          <w:rFonts w:ascii="Arial" w:hAnsi="Arial" w:cs="Arial"/>
          <w:b/>
          <w:color w:val="165788"/>
        </w:rPr>
      </w:pPr>
      <w:r w:rsidRPr="00EB039D">
        <w:rPr>
          <w:rFonts w:ascii="Arial" w:hAnsi="Arial" w:cs="Arial"/>
          <w:b/>
          <w:color w:val="165788"/>
        </w:rPr>
        <w:t>Reference Documents:</w:t>
      </w:r>
    </w:p>
    <w:p w:rsidR="005D2078" w:rsidRPr="00EB039D" w:rsidRDefault="005D2078">
      <w:pPr>
        <w:rPr>
          <w:rFonts w:ascii="Arial" w:hAnsi="Arial" w:cs="Arial"/>
          <w:color w:val="165788"/>
        </w:rPr>
      </w:pPr>
    </w:p>
    <w:p w:rsidR="007D187B" w:rsidRPr="00EB039D" w:rsidRDefault="005D2078" w:rsidP="00896CA9">
      <w:pPr>
        <w:pStyle w:val="ListParagraph"/>
        <w:numPr>
          <w:ilvl w:val="0"/>
          <w:numId w:val="28"/>
        </w:numPr>
        <w:ind w:left="709" w:hanging="709"/>
        <w:jc w:val="both"/>
        <w:rPr>
          <w:rFonts w:ascii="Arial" w:hAnsi="Arial" w:cs="Arial"/>
          <w:color w:val="165788"/>
        </w:rPr>
      </w:pPr>
      <w:r w:rsidRPr="00EB039D">
        <w:rPr>
          <w:rFonts w:ascii="Arial" w:hAnsi="Arial" w:cs="Arial"/>
          <w:color w:val="165788"/>
        </w:rPr>
        <w:t xml:space="preserve">CIH Briefing note: April 2016 Reduction in social housing rents </w:t>
      </w:r>
    </w:p>
    <w:p w:rsidR="009F6DA8" w:rsidRPr="00EB039D" w:rsidRDefault="009F6DA8" w:rsidP="00896CA9">
      <w:pPr>
        <w:pStyle w:val="ListParagraph"/>
        <w:numPr>
          <w:ilvl w:val="0"/>
          <w:numId w:val="28"/>
        </w:numPr>
        <w:ind w:left="709" w:hanging="709"/>
        <w:jc w:val="both"/>
        <w:rPr>
          <w:rFonts w:ascii="Arial" w:hAnsi="Arial" w:cs="Arial"/>
          <w:color w:val="165788"/>
        </w:rPr>
      </w:pPr>
      <w:r w:rsidRPr="00EB039D">
        <w:rPr>
          <w:rFonts w:ascii="Arial" w:hAnsi="Arial" w:cs="Arial"/>
          <w:color w:val="165788"/>
        </w:rPr>
        <w:t>NHF Understanding Assurance December 2014</w:t>
      </w:r>
    </w:p>
    <w:p w:rsidR="009F6DA8" w:rsidRPr="00EB039D" w:rsidRDefault="009F6DA8" w:rsidP="00896CA9">
      <w:pPr>
        <w:pStyle w:val="ListParagraph"/>
        <w:numPr>
          <w:ilvl w:val="0"/>
          <w:numId w:val="28"/>
        </w:numPr>
        <w:ind w:left="709" w:hanging="709"/>
        <w:jc w:val="both"/>
        <w:rPr>
          <w:rFonts w:ascii="Arial" w:hAnsi="Arial" w:cs="Arial"/>
          <w:color w:val="165788"/>
        </w:rPr>
      </w:pPr>
      <w:r w:rsidRPr="00EB039D">
        <w:rPr>
          <w:rFonts w:ascii="Arial" w:hAnsi="Arial" w:cs="Arial"/>
          <w:color w:val="165788"/>
        </w:rPr>
        <w:t>NHF Code of Governance February 2015</w:t>
      </w:r>
    </w:p>
    <w:p w:rsidR="009F6DA8" w:rsidRDefault="009F6DA8" w:rsidP="00896CA9">
      <w:pPr>
        <w:pStyle w:val="ListParagraph"/>
        <w:numPr>
          <w:ilvl w:val="0"/>
          <w:numId w:val="28"/>
        </w:numPr>
        <w:ind w:left="709" w:hanging="709"/>
        <w:jc w:val="both"/>
        <w:rPr>
          <w:rFonts w:ascii="Arial" w:hAnsi="Arial" w:cs="Arial"/>
          <w:color w:val="165788"/>
        </w:rPr>
      </w:pPr>
      <w:r w:rsidRPr="00EB039D">
        <w:rPr>
          <w:rFonts w:ascii="Arial" w:hAnsi="Arial" w:cs="Arial"/>
          <w:color w:val="165788"/>
        </w:rPr>
        <w:t>NHF Code of Conduct October 2012</w:t>
      </w:r>
    </w:p>
    <w:p w:rsidR="00C244C0" w:rsidRDefault="00C244C0" w:rsidP="00896CA9">
      <w:pPr>
        <w:pStyle w:val="ListParagraph"/>
        <w:numPr>
          <w:ilvl w:val="0"/>
          <w:numId w:val="28"/>
        </w:numPr>
        <w:ind w:left="709" w:hanging="709"/>
        <w:jc w:val="both"/>
        <w:rPr>
          <w:rFonts w:ascii="Arial" w:hAnsi="Arial" w:cs="Arial"/>
          <w:color w:val="165788"/>
        </w:rPr>
      </w:pPr>
      <w:r>
        <w:rPr>
          <w:rFonts w:ascii="Arial" w:hAnsi="Arial" w:cs="Arial"/>
          <w:color w:val="165788"/>
        </w:rPr>
        <w:t>NHF Briefing: Deregulation; Deregulatory measures introduced in response to the ONS reclassification of housing associations April 2016</w:t>
      </w:r>
    </w:p>
    <w:p w:rsidR="00282EE1" w:rsidRDefault="00282EE1" w:rsidP="00282EE1">
      <w:pPr>
        <w:pStyle w:val="ListParagraph"/>
        <w:numPr>
          <w:ilvl w:val="0"/>
          <w:numId w:val="28"/>
        </w:numPr>
        <w:ind w:left="0" w:firstLine="0"/>
        <w:rPr>
          <w:rFonts w:ascii="Arial" w:hAnsi="Arial" w:cs="Arial"/>
          <w:color w:val="165788"/>
          <w:lang w:eastAsia="en-GB" w:bidi="ar-SA"/>
        </w:rPr>
      </w:pPr>
      <w:r>
        <w:rPr>
          <w:rFonts w:ascii="Arial" w:hAnsi="Arial" w:cs="Arial"/>
          <w:color w:val="165788"/>
        </w:rPr>
        <w:t>Sector Risk Profile HCA July 2017</w:t>
      </w:r>
    </w:p>
    <w:p w:rsidR="00282EE1" w:rsidRPr="00EB039D" w:rsidRDefault="00282EE1" w:rsidP="00896CA9">
      <w:pPr>
        <w:pStyle w:val="ListParagraph"/>
        <w:numPr>
          <w:ilvl w:val="0"/>
          <w:numId w:val="28"/>
        </w:numPr>
        <w:ind w:left="709" w:hanging="709"/>
        <w:jc w:val="both"/>
        <w:rPr>
          <w:rFonts w:ascii="Arial" w:hAnsi="Arial" w:cs="Arial"/>
          <w:color w:val="165788"/>
        </w:rPr>
      </w:pPr>
      <w:r>
        <w:rPr>
          <w:rFonts w:ascii="Arial" w:hAnsi="Arial" w:cs="Arial"/>
          <w:color w:val="165788"/>
        </w:rPr>
        <w:t>V</w:t>
      </w:r>
      <w:r w:rsidR="00142C14">
        <w:rPr>
          <w:rFonts w:ascii="Arial" w:hAnsi="Arial" w:cs="Arial"/>
          <w:color w:val="165788"/>
        </w:rPr>
        <w:t>oluntary Right to Buy – Midlands Pilot Guidance for Housing Associations NHF May 2018</w:t>
      </w:r>
    </w:p>
    <w:p w:rsidR="007D187B" w:rsidRPr="009F6DA8" w:rsidRDefault="007D187B" w:rsidP="007D187B">
      <w:pPr>
        <w:jc w:val="both"/>
        <w:rPr>
          <w:rFonts w:ascii="Arial" w:hAnsi="Arial" w:cs="Arial"/>
          <w:color w:val="009B3A"/>
        </w:rPr>
      </w:pPr>
    </w:p>
    <w:p w:rsidR="007D187B" w:rsidRDefault="007D187B" w:rsidP="007D187B">
      <w:pPr>
        <w:jc w:val="both"/>
        <w:rPr>
          <w:rFonts w:ascii="Arial" w:hAnsi="Arial" w:cs="Arial"/>
        </w:rPr>
      </w:pPr>
    </w:p>
    <w:tbl>
      <w:tblPr>
        <w:tblStyle w:val="TableGrid"/>
        <w:tblW w:w="0" w:type="auto"/>
        <w:tblBorders>
          <w:top w:val="single" w:sz="4" w:space="0" w:color="165788"/>
          <w:left w:val="single" w:sz="4" w:space="0" w:color="165788"/>
          <w:bottom w:val="single" w:sz="4" w:space="0" w:color="165788"/>
          <w:right w:val="single" w:sz="4" w:space="0" w:color="165788"/>
          <w:insideH w:val="none" w:sz="0" w:space="0" w:color="auto"/>
          <w:insideV w:val="none" w:sz="0" w:space="0" w:color="auto"/>
        </w:tblBorders>
        <w:tblLook w:val="04A0" w:firstRow="1" w:lastRow="0" w:firstColumn="1" w:lastColumn="0" w:noHBand="0" w:noVBand="1"/>
      </w:tblPr>
      <w:tblGrid>
        <w:gridCol w:w="13948"/>
      </w:tblGrid>
      <w:tr w:rsidR="005F0002" w:rsidTr="00EB039D">
        <w:tc>
          <w:tcPr>
            <w:tcW w:w="13948" w:type="dxa"/>
          </w:tcPr>
          <w:p w:rsidR="005F0002" w:rsidRDefault="005F0002" w:rsidP="005F0002">
            <w:pPr>
              <w:jc w:val="both"/>
              <w:rPr>
                <w:rFonts w:ascii="Arial" w:hAnsi="Arial" w:cs="Arial"/>
                <w:b/>
                <w:color w:val="165788"/>
              </w:rPr>
            </w:pPr>
            <w:r w:rsidRPr="00EB039D">
              <w:rPr>
                <w:rFonts w:ascii="Arial" w:hAnsi="Arial" w:cs="Arial"/>
                <w:b/>
                <w:color w:val="165788"/>
              </w:rPr>
              <w:t>Key to Text</w:t>
            </w:r>
          </w:p>
          <w:p w:rsidR="00142C14" w:rsidRPr="00EB039D" w:rsidRDefault="00142C14" w:rsidP="005F0002">
            <w:pPr>
              <w:jc w:val="both"/>
              <w:rPr>
                <w:rFonts w:ascii="Arial" w:hAnsi="Arial" w:cs="Arial"/>
                <w:b/>
                <w:color w:val="165788"/>
              </w:rPr>
            </w:pPr>
          </w:p>
          <w:p w:rsidR="005F0002" w:rsidRDefault="005F0002" w:rsidP="00910443">
            <w:pPr>
              <w:jc w:val="both"/>
              <w:rPr>
                <w:rFonts w:ascii="Arial" w:hAnsi="Arial" w:cs="Arial"/>
                <w:b/>
                <w:color w:val="165788"/>
              </w:rPr>
            </w:pPr>
            <w:r w:rsidRPr="00EB039D">
              <w:rPr>
                <w:rFonts w:ascii="Arial" w:hAnsi="Arial" w:cs="Arial"/>
                <w:b/>
                <w:color w:val="165788"/>
              </w:rPr>
              <w:t xml:space="preserve">To help readers distinguish between </w:t>
            </w:r>
            <w:r w:rsidR="00EB039D">
              <w:rPr>
                <w:rFonts w:ascii="Arial" w:hAnsi="Arial" w:cs="Arial"/>
                <w:b/>
              </w:rPr>
              <w:t>RSH</w:t>
            </w:r>
            <w:r w:rsidRPr="007D187B">
              <w:rPr>
                <w:rFonts w:ascii="Arial" w:hAnsi="Arial" w:cs="Arial"/>
                <w:b/>
              </w:rPr>
              <w:t xml:space="preserve"> regulation and guidance </w:t>
            </w:r>
            <w:r w:rsidRPr="00EB039D">
              <w:rPr>
                <w:rFonts w:ascii="Arial" w:hAnsi="Arial" w:cs="Arial"/>
                <w:b/>
                <w:color w:val="165788"/>
              </w:rPr>
              <w:t>and bdht commentary</w:t>
            </w:r>
            <w:r w:rsidRPr="007D187B">
              <w:rPr>
                <w:rFonts w:ascii="Arial" w:hAnsi="Arial" w:cs="Arial"/>
                <w:b/>
              </w:rPr>
              <w:t xml:space="preserve">, HCA regulation is shown in black text </w:t>
            </w:r>
            <w:r w:rsidRPr="00EB039D">
              <w:rPr>
                <w:rFonts w:ascii="Arial" w:hAnsi="Arial" w:cs="Arial"/>
                <w:b/>
                <w:color w:val="165788"/>
              </w:rPr>
              <w:t xml:space="preserve">whilst bdht commentary is shown in </w:t>
            </w:r>
            <w:r w:rsidR="00EB039D" w:rsidRPr="00EB039D">
              <w:rPr>
                <w:rFonts w:ascii="Arial" w:hAnsi="Arial" w:cs="Arial"/>
                <w:b/>
                <w:color w:val="165788"/>
              </w:rPr>
              <w:t>blue</w:t>
            </w:r>
            <w:r w:rsidRPr="00EB039D">
              <w:rPr>
                <w:rFonts w:ascii="Arial" w:hAnsi="Arial" w:cs="Arial"/>
                <w:b/>
                <w:color w:val="165788"/>
              </w:rPr>
              <w:t>.</w:t>
            </w:r>
          </w:p>
          <w:p w:rsidR="00142C14" w:rsidRDefault="00142C14" w:rsidP="00910443">
            <w:pPr>
              <w:jc w:val="both"/>
              <w:rPr>
                <w:rFonts w:ascii="Arial" w:hAnsi="Arial" w:cs="Arial"/>
              </w:rPr>
            </w:pPr>
          </w:p>
        </w:tc>
      </w:tr>
    </w:tbl>
    <w:p w:rsidR="005F0002" w:rsidRDefault="005F0002" w:rsidP="007D187B">
      <w:pPr>
        <w:jc w:val="both"/>
        <w:rPr>
          <w:rFonts w:ascii="Arial" w:hAnsi="Arial" w:cs="Arial"/>
        </w:rPr>
      </w:pPr>
    </w:p>
    <w:p w:rsidR="00142C14" w:rsidRDefault="00142C14">
      <w:pPr>
        <w:rPr>
          <w:rFonts w:ascii="Arial" w:hAnsi="Arial" w:cs="Arial"/>
          <w:b/>
          <w:color w:val="165788"/>
        </w:rPr>
      </w:pPr>
    </w:p>
    <w:p w:rsidR="00142C14" w:rsidRDefault="00142C14">
      <w:pPr>
        <w:rPr>
          <w:rFonts w:ascii="Arial" w:hAnsi="Arial" w:cs="Arial"/>
          <w:b/>
          <w:color w:val="165788"/>
        </w:rPr>
      </w:pPr>
    </w:p>
    <w:p w:rsidR="00142C14" w:rsidRDefault="00142C14">
      <w:pPr>
        <w:rPr>
          <w:rFonts w:ascii="Arial" w:hAnsi="Arial" w:cs="Arial"/>
          <w:b/>
          <w:color w:val="165788"/>
        </w:rPr>
      </w:pPr>
    </w:p>
    <w:p w:rsidR="00142C14" w:rsidRDefault="00142C14">
      <w:pPr>
        <w:rPr>
          <w:rFonts w:ascii="Arial" w:hAnsi="Arial" w:cs="Arial"/>
          <w:b/>
          <w:color w:val="165788"/>
        </w:rPr>
      </w:pPr>
    </w:p>
    <w:p w:rsidR="00142C14" w:rsidRDefault="00142C14">
      <w:pPr>
        <w:rPr>
          <w:rFonts w:ascii="Arial" w:hAnsi="Arial" w:cs="Arial"/>
          <w:b/>
          <w:color w:val="165788"/>
        </w:rPr>
      </w:pPr>
    </w:p>
    <w:p w:rsidR="00142C14" w:rsidRDefault="00142C14">
      <w:pPr>
        <w:rPr>
          <w:rFonts w:ascii="Arial" w:hAnsi="Arial" w:cs="Arial"/>
          <w:b/>
          <w:color w:val="165788"/>
        </w:rPr>
      </w:pPr>
    </w:p>
    <w:p w:rsidR="00142C14" w:rsidRDefault="00142C14">
      <w:pPr>
        <w:rPr>
          <w:rFonts w:ascii="Arial" w:hAnsi="Arial" w:cs="Arial"/>
          <w:b/>
          <w:color w:val="165788"/>
        </w:rPr>
      </w:pPr>
    </w:p>
    <w:p w:rsidR="00142C14" w:rsidRDefault="00142C14">
      <w:pPr>
        <w:rPr>
          <w:rFonts w:ascii="Arial" w:hAnsi="Arial" w:cs="Arial"/>
          <w:b/>
          <w:color w:val="165788"/>
        </w:rPr>
      </w:pPr>
    </w:p>
    <w:p w:rsidR="00142C14" w:rsidRDefault="00142C14">
      <w:pPr>
        <w:rPr>
          <w:rFonts w:ascii="Arial" w:hAnsi="Arial" w:cs="Arial"/>
          <w:b/>
          <w:color w:val="165788"/>
        </w:rPr>
      </w:pPr>
    </w:p>
    <w:p w:rsidR="00142C14" w:rsidRDefault="00142C14">
      <w:pPr>
        <w:rPr>
          <w:rFonts w:ascii="Arial" w:hAnsi="Arial" w:cs="Arial"/>
          <w:b/>
          <w:color w:val="165788"/>
        </w:rPr>
      </w:pPr>
    </w:p>
    <w:p w:rsidR="00142C14" w:rsidRDefault="00142C14">
      <w:pPr>
        <w:rPr>
          <w:rFonts w:ascii="Arial" w:hAnsi="Arial" w:cs="Arial"/>
          <w:b/>
          <w:color w:val="165788"/>
        </w:rPr>
      </w:pPr>
    </w:p>
    <w:p w:rsidR="00142C14" w:rsidRDefault="00142C14">
      <w:pPr>
        <w:rPr>
          <w:rFonts w:ascii="Arial" w:hAnsi="Arial" w:cs="Arial"/>
          <w:b/>
          <w:color w:val="165788"/>
        </w:rPr>
      </w:pPr>
    </w:p>
    <w:p w:rsidR="00142C14" w:rsidRDefault="00142C14">
      <w:pPr>
        <w:rPr>
          <w:rFonts w:ascii="Arial" w:hAnsi="Arial" w:cs="Arial"/>
          <w:b/>
          <w:color w:val="165788"/>
        </w:rPr>
      </w:pPr>
    </w:p>
    <w:p w:rsidR="000A5CCB" w:rsidRPr="00D4704C" w:rsidRDefault="000A5CCB">
      <w:pPr>
        <w:rPr>
          <w:rFonts w:ascii="Arial" w:hAnsi="Arial" w:cs="Arial"/>
          <w:b/>
          <w:color w:val="165788"/>
        </w:rPr>
      </w:pPr>
      <w:r w:rsidRPr="00D4704C">
        <w:rPr>
          <w:rFonts w:ascii="Arial" w:hAnsi="Arial" w:cs="Arial"/>
          <w:b/>
          <w:color w:val="165788"/>
        </w:rPr>
        <w:t>Key Sources of Assurance</w:t>
      </w:r>
    </w:p>
    <w:p w:rsidR="000A5CCB" w:rsidRDefault="000A5CCB">
      <w:pPr>
        <w:rPr>
          <w:rFonts w:ascii="Arial" w:hAnsi="Arial" w:cs="Arial"/>
        </w:rPr>
      </w:pPr>
    </w:p>
    <w:tbl>
      <w:tblPr>
        <w:tblStyle w:val="TableGrid"/>
        <w:tblW w:w="0" w:type="auto"/>
        <w:tblBorders>
          <w:top w:val="single" w:sz="4" w:space="0" w:color="165788"/>
          <w:left w:val="single" w:sz="4" w:space="0" w:color="165788"/>
          <w:bottom w:val="single" w:sz="4" w:space="0" w:color="165788"/>
          <w:right w:val="single" w:sz="4" w:space="0" w:color="165788"/>
          <w:insideH w:val="single" w:sz="4" w:space="0" w:color="165788"/>
          <w:insideV w:val="single" w:sz="4" w:space="0" w:color="165788"/>
        </w:tblBorders>
        <w:tblLook w:val="04A0" w:firstRow="1" w:lastRow="0" w:firstColumn="1" w:lastColumn="0" w:noHBand="0" w:noVBand="1"/>
      </w:tblPr>
      <w:tblGrid>
        <w:gridCol w:w="6374"/>
        <w:gridCol w:w="6799"/>
      </w:tblGrid>
      <w:tr w:rsidR="00D4704C" w:rsidRPr="00D4704C" w:rsidTr="00142C14">
        <w:trPr>
          <w:trHeight w:val="510"/>
        </w:trPr>
        <w:tc>
          <w:tcPr>
            <w:tcW w:w="6374" w:type="dxa"/>
            <w:shd w:val="clear" w:color="auto" w:fill="165788"/>
            <w:vAlign w:val="center"/>
          </w:tcPr>
          <w:p w:rsidR="00D4704C" w:rsidRPr="00D4704C" w:rsidRDefault="00D4704C" w:rsidP="00C00EED">
            <w:pPr>
              <w:jc w:val="center"/>
              <w:rPr>
                <w:rFonts w:ascii="Arial" w:hAnsi="Arial" w:cs="Arial"/>
                <w:b/>
                <w:color w:val="FFFFFF" w:themeColor="background1"/>
              </w:rPr>
            </w:pPr>
          </w:p>
        </w:tc>
        <w:tc>
          <w:tcPr>
            <w:tcW w:w="6799" w:type="dxa"/>
            <w:shd w:val="clear" w:color="auto" w:fill="165788"/>
            <w:vAlign w:val="center"/>
          </w:tcPr>
          <w:p w:rsidR="00D4704C" w:rsidRPr="00D4704C" w:rsidRDefault="00D4704C" w:rsidP="009F6DA8">
            <w:pPr>
              <w:jc w:val="center"/>
              <w:rPr>
                <w:rFonts w:ascii="Arial" w:hAnsi="Arial" w:cs="Arial"/>
                <w:b/>
                <w:color w:val="FFFFFF" w:themeColor="background1"/>
              </w:rPr>
            </w:pPr>
            <w:r w:rsidRPr="00D4704C">
              <w:rPr>
                <w:rFonts w:ascii="Arial" w:hAnsi="Arial" w:cs="Arial"/>
                <w:b/>
                <w:color w:val="FFFFFF" w:themeColor="background1"/>
              </w:rPr>
              <w:t>2017/18</w:t>
            </w:r>
          </w:p>
        </w:tc>
      </w:tr>
      <w:tr w:rsidR="00D4704C" w:rsidRPr="00D4704C" w:rsidTr="00142C14">
        <w:tc>
          <w:tcPr>
            <w:tcW w:w="6374" w:type="dxa"/>
            <w:vAlign w:val="center"/>
          </w:tcPr>
          <w:p w:rsidR="00D4704C" w:rsidRPr="00D4704C" w:rsidRDefault="00D4704C" w:rsidP="00C00EED">
            <w:pPr>
              <w:rPr>
                <w:rFonts w:ascii="Arial" w:hAnsi="Arial" w:cs="Arial"/>
                <w:color w:val="165788"/>
              </w:rPr>
            </w:pPr>
            <w:r w:rsidRPr="00D4704C">
              <w:rPr>
                <w:rFonts w:ascii="Arial" w:hAnsi="Arial" w:cs="Arial"/>
                <w:color w:val="165788"/>
              </w:rPr>
              <w:t>External Auditor</w:t>
            </w:r>
          </w:p>
        </w:tc>
        <w:tc>
          <w:tcPr>
            <w:tcW w:w="6799" w:type="dxa"/>
          </w:tcPr>
          <w:p w:rsidR="00D4704C" w:rsidRPr="00D4704C" w:rsidRDefault="00D4704C" w:rsidP="000A5CCB">
            <w:pPr>
              <w:rPr>
                <w:rFonts w:ascii="Arial" w:hAnsi="Arial" w:cs="Arial"/>
                <w:color w:val="165788"/>
              </w:rPr>
            </w:pPr>
            <w:r w:rsidRPr="00D4704C">
              <w:rPr>
                <w:rFonts w:ascii="Arial" w:hAnsi="Arial" w:cs="Arial"/>
                <w:color w:val="165788"/>
              </w:rPr>
              <w:t>Mazars</w:t>
            </w:r>
          </w:p>
          <w:p w:rsidR="00D4704C" w:rsidRPr="00D4704C" w:rsidRDefault="00D4704C" w:rsidP="000A5CCB">
            <w:pPr>
              <w:rPr>
                <w:rFonts w:ascii="Arial" w:hAnsi="Arial" w:cs="Arial"/>
                <w:color w:val="165788"/>
              </w:rPr>
            </w:pPr>
            <w:r w:rsidRPr="00D4704C">
              <w:rPr>
                <w:rFonts w:ascii="Arial" w:hAnsi="Arial" w:cs="Arial"/>
                <w:color w:val="165788"/>
              </w:rPr>
              <w:t>45 Church Street</w:t>
            </w:r>
          </w:p>
          <w:p w:rsidR="00D4704C" w:rsidRPr="00D4704C" w:rsidRDefault="00D4704C" w:rsidP="000A5CCB">
            <w:pPr>
              <w:rPr>
                <w:rFonts w:ascii="Arial" w:hAnsi="Arial" w:cs="Arial"/>
                <w:color w:val="165788"/>
              </w:rPr>
            </w:pPr>
            <w:r w:rsidRPr="00D4704C">
              <w:rPr>
                <w:rFonts w:ascii="Arial" w:hAnsi="Arial" w:cs="Arial"/>
                <w:color w:val="165788"/>
              </w:rPr>
              <w:t>Birmingham</w:t>
            </w:r>
          </w:p>
          <w:p w:rsidR="00D4704C" w:rsidRPr="00D4704C" w:rsidRDefault="00D4704C" w:rsidP="000A5CCB">
            <w:pPr>
              <w:rPr>
                <w:rFonts w:ascii="Arial" w:hAnsi="Arial" w:cs="Arial"/>
                <w:color w:val="165788"/>
              </w:rPr>
            </w:pPr>
            <w:r w:rsidRPr="00D4704C">
              <w:rPr>
                <w:rFonts w:ascii="Arial" w:hAnsi="Arial" w:cs="Arial"/>
                <w:color w:val="165788"/>
              </w:rPr>
              <w:t>B3 2RT</w:t>
            </w:r>
          </w:p>
        </w:tc>
      </w:tr>
      <w:tr w:rsidR="00D4704C" w:rsidRPr="00D4704C" w:rsidTr="00142C14">
        <w:tc>
          <w:tcPr>
            <w:tcW w:w="6374" w:type="dxa"/>
            <w:vAlign w:val="center"/>
          </w:tcPr>
          <w:p w:rsidR="00D4704C" w:rsidRPr="00D4704C" w:rsidRDefault="00D4704C" w:rsidP="00494D12">
            <w:pPr>
              <w:rPr>
                <w:rFonts w:ascii="Arial" w:hAnsi="Arial" w:cs="Arial"/>
                <w:color w:val="165788"/>
              </w:rPr>
            </w:pPr>
            <w:r w:rsidRPr="00D4704C">
              <w:rPr>
                <w:rFonts w:ascii="Arial" w:hAnsi="Arial" w:cs="Arial"/>
                <w:color w:val="165788"/>
              </w:rPr>
              <w:t>Internal Auditors</w:t>
            </w:r>
          </w:p>
        </w:tc>
        <w:tc>
          <w:tcPr>
            <w:tcW w:w="6799" w:type="dxa"/>
          </w:tcPr>
          <w:p w:rsidR="00D4704C" w:rsidRPr="00D4704C" w:rsidRDefault="00D4704C" w:rsidP="00494D12">
            <w:pPr>
              <w:rPr>
                <w:rFonts w:ascii="Arial" w:hAnsi="Arial" w:cs="Arial"/>
                <w:color w:val="165788"/>
              </w:rPr>
            </w:pPr>
            <w:r w:rsidRPr="00D4704C">
              <w:rPr>
                <w:rFonts w:ascii="Arial" w:hAnsi="Arial" w:cs="Arial"/>
                <w:color w:val="165788"/>
              </w:rPr>
              <w:t>Beever &amp; Struthers</w:t>
            </w:r>
          </w:p>
          <w:p w:rsidR="00D4704C" w:rsidRPr="00D4704C" w:rsidRDefault="00D4704C" w:rsidP="00494D12">
            <w:pPr>
              <w:rPr>
                <w:rFonts w:ascii="Arial" w:hAnsi="Arial" w:cs="Arial"/>
                <w:color w:val="165788"/>
              </w:rPr>
            </w:pPr>
            <w:r w:rsidRPr="00D4704C">
              <w:rPr>
                <w:rFonts w:ascii="Arial" w:hAnsi="Arial" w:cs="Arial"/>
                <w:color w:val="165788"/>
              </w:rPr>
              <w:t>St.George’s House</w:t>
            </w:r>
          </w:p>
          <w:p w:rsidR="00D4704C" w:rsidRPr="00D4704C" w:rsidRDefault="00D4704C" w:rsidP="00494D12">
            <w:pPr>
              <w:rPr>
                <w:rFonts w:ascii="Arial" w:hAnsi="Arial" w:cs="Arial"/>
                <w:color w:val="165788"/>
              </w:rPr>
            </w:pPr>
            <w:r w:rsidRPr="00D4704C">
              <w:rPr>
                <w:rFonts w:ascii="Arial" w:hAnsi="Arial" w:cs="Arial"/>
                <w:color w:val="165788"/>
              </w:rPr>
              <w:t>215-219 Chester Road</w:t>
            </w:r>
          </w:p>
          <w:p w:rsidR="00D4704C" w:rsidRPr="00D4704C" w:rsidRDefault="00D4704C" w:rsidP="00494D12">
            <w:pPr>
              <w:rPr>
                <w:rFonts w:ascii="Arial" w:hAnsi="Arial" w:cs="Arial"/>
                <w:color w:val="165788"/>
              </w:rPr>
            </w:pPr>
            <w:r w:rsidRPr="00D4704C">
              <w:rPr>
                <w:rFonts w:ascii="Arial" w:hAnsi="Arial" w:cs="Arial"/>
                <w:color w:val="165788"/>
              </w:rPr>
              <w:t>Manchester</w:t>
            </w:r>
          </w:p>
          <w:p w:rsidR="00D4704C" w:rsidRPr="00D4704C" w:rsidRDefault="00D4704C" w:rsidP="00494D12">
            <w:pPr>
              <w:rPr>
                <w:rFonts w:ascii="Arial" w:hAnsi="Arial" w:cs="Arial"/>
                <w:color w:val="165788"/>
              </w:rPr>
            </w:pPr>
            <w:r w:rsidRPr="00D4704C">
              <w:rPr>
                <w:rFonts w:ascii="Arial" w:hAnsi="Arial" w:cs="Arial"/>
                <w:color w:val="165788"/>
              </w:rPr>
              <w:t>M15 4JE</w:t>
            </w:r>
          </w:p>
        </w:tc>
      </w:tr>
      <w:tr w:rsidR="00D4704C" w:rsidRPr="00D4704C" w:rsidTr="00142C14">
        <w:tc>
          <w:tcPr>
            <w:tcW w:w="6374" w:type="dxa"/>
            <w:vAlign w:val="center"/>
          </w:tcPr>
          <w:p w:rsidR="00D4704C" w:rsidRPr="00D4704C" w:rsidRDefault="00D4704C" w:rsidP="00494D12">
            <w:pPr>
              <w:rPr>
                <w:rFonts w:ascii="Arial" w:hAnsi="Arial" w:cs="Arial"/>
                <w:color w:val="165788"/>
              </w:rPr>
            </w:pPr>
            <w:r w:rsidRPr="00D4704C">
              <w:rPr>
                <w:rFonts w:ascii="Arial" w:hAnsi="Arial" w:cs="Arial"/>
                <w:color w:val="165788"/>
              </w:rPr>
              <w:t>Treasury Management</w:t>
            </w:r>
          </w:p>
        </w:tc>
        <w:tc>
          <w:tcPr>
            <w:tcW w:w="6799" w:type="dxa"/>
          </w:tcPr>
          <w:p w:rsidR="00D4704C" w:rsidRPr="00D4704C" w:rsidRDefault="00D4704C" w:rsidP="00494D12">
            <w:pPr>
              <w:rPr>
                <w:rFonts w:ascii="Arial" w:hAnsi="Arial" w:cs="Arial"/>
                <w:color w:val="165788"/>
              </w:rPr>
            </w:pPr>
            <w:r w:rsidRPr="00D4704C">
              <w:rPr>
                <w:rFonts w:ascii="Arial" w:hAnsi="Arial" w:cs="Arial"/>
                <w:color w:val="165788"/>
              </w:rPr>
              <w:t>David Tolson Partnership Ltd</w:t>
            </w:r>
          </w:p>
          <w:p w:rsidR="00D4704C" w:rsidRPr="00D4704C" w:rsidRDefault="00D4704C" w:rsidP="00494D12">
            <w:pPr>
              <w:rPr>
                <w:rFonts w:ascii="Arial" w:hAnsi="Arial" w:cs="Arial"/>
                <w:color w:val="165788"/>
              </w:rPr>
            </w:pPr>
            <w:r w:rsidRPr="00D4704C">
              <w:rPr>
                <w:rFonts w:ascii="Arial" w:hAnsi="Arial" w:cs="Arial"/>
                <w:color w:val="165788"/>
              </w:rPr>
              <w:t>Richard House</w:t>
            </w:r>
          </w:p>
          <w:p w:rsidR="00D4704C" w:rsidRPr="00D4704C" w:rsidRDefault="00D4704C" w:rsidP="00494D12">
            <w:pPr>
              <w:rPr>
                <w:rFonts w:ascii="Arial" w:hAnsi="Arial" w:cs="Arial"/>
                <w:color w:val="165788"/>
              </w:rPr>
            </w:pPr>
            <w:r w:rsidRPr="00D4704C">
              <w:rPr>
                <w:rFonts w:ascii="Arial" w:hAnsi="Arial" w:cs="Arial"/>
                <w:color w:val="165788"/>
              </w:rPr>
              <w:t>9 Winkley Square</w:t>
            </w:r>
          </w:p>
          <w:p w:rsidR="00D4704C" w:rsidRPr="00D4704C" w:rsidRDefault="00D4704C" w:rsidP="00494D12">
            <w:pPr>
              <w:rPr>
                <w:rFonts w:ascii="Arial" w:hAnsi="Arial" w:cs="Arial"/>
                <w:color w:val="165788"/>
              </w:rPr>
            </w:pPr>
            <w:r w:rsidRPr="00D4704C">
              <w:rPr>
                <w:rFonts w:ascii="Arial" w:hAnsi="Arial" w:cs="Arial"/>
                <w:color w:val="165788"/>
              </w:rPr>
              <w:t>Preston</w:t>
            </w:r>
          </w:p>
          <w:p w:rsidR="00D4704C" w:rsidRPr="00D4704C" w:rsidRDefault="00D4704C" w:rsidP="00494D12">
            <w:pPr>
              <w:rPr>
                <w:rFonts w:ascii="Arial" w:hAnsi="Arial" w:cs="Arial"/>
                <w:color w:val="165788"/>
              </w:rPr>
            </w:pPr>
            <w:r w:rsidRPr="00D4704C">
              <w:rPr>
                <w:rFonts w:ascii="Arial" w:hAnsi="Arial" w:cs="Arial"/>
                <w:color w:val="165788"/>
              </w:rPr>
              <w:t>PR1 3HP</w:t>
            </w:r>
          </w:p>
        </w:tc>
      </w:tr>
      <w:tr w:rsidR="00D4704C" w:rsidRPr="00D4704C" w:rsidTr="00142C14">
        <w:tc>
          <w:tcPr>
            <w:tcW w:w="6374" w:type="dxa"/>
            <w:vAlign w:val="center"/>
          </w:tcPr>
          <w:p w:rsidR="00D4704C" w:rsidRPr="00D4704C" w:rsidRDefault="00D4704C" w:rsidP="00494D12">
            <w:pPr>
              <w:rPr>
                <w:rFonts w:ascii="Arial" w:hAnsi="Arial" w:cs="Arial"/>
                <w:color w:val="165788"/>
              </w:rPr>
            </w:pPr>
            <w:r w:rsidRPr="00D4704C">
              <w:rPr>
                <w:rFonts w:ascii="Arial" w:hAnsi="Arial" w:cs="Arial"/>
                <w:color w:val="165788"/>
              </w:rPr>
              <w:t>Legal Advisors</w:t>
            </w:r>
          </w:p>
        </w:tc>
        <w:tc>
          <w:tcPr>
            <w:tcW w:w="6799" w:type="dxa"/>
          </w:tcPr>
          <w:p w:rsidR="00D4704C" w:rsidRPr="00D4704C" w:rsidRDefault="00D4704C" w:rsidP="00494D12">
            <w:pPr>
              <w:rPr>
                <w:rFonts w:ascii="Arial" w:hAnsi="Arial" w:cs="Arial"/>
                <w:color w:val="165788"/>
              </w:rPr>
            </w:pPr>
            <w:r w:rsidRPr="00D4704C">
              <w:rPr>
                <w:rFonts w:ascii="Arial" w:hAnsi="Arial" w:cs="Arial"/>
                <w:color w:val="165788"/>
              </w:rPr>
              <w:t>Trowers &amp; Hamlins LLP</w:t>
            </w:r>
          </w:p>
          <w:p w:rsidR="00D4704C" w:rsidRPr="00D4704C" w:rsidRDefault="00D4704C" w:rsidP="00494D12">
            <w:pPr>
              <w:rPr>
                <w:rFonts w:ascii="Arial" w:hAnsi="Arial" w:cs="Arial"/>
                <w:color w:val="165788"/>
              </w:rPr>
            </w:pPr>
            <w:r w:rsidRPr="00D4704C">
              <w:rPr>
                <w:rFonts w:ascii="Arial" w:hAnsi="Arial" w:cs="Arial"/>
                <w:color w:val="165788"/>
              </w:rPr>
              <w:t>55 Princess Street</w:t>
            </w:r>
          </w:p>
          <w:p w:rsidR="00D4704C" w:rsidRPr="00D4704C" w:rsidRDefault="00D4704C" w:rsidP="00494D12">
            <w:pPr>
              <w:rPr>
                <w:rFonts w:ascii="Arial" w:hAnsi="Arial" w:cs="Arial"/>
                <w:color w:val="165788"/>
              </w:rPr>
            </w:pPr>
            <w:r w:rsidRPr="00D4704C">
              <w:rPr>
                <w:rFonts w:ascii="Arial" w:hAnsi="Arial" w:cs="Arial"/>
                <w:color w:val="165788"/>
              </w:rPr>
              <w:t>Manchester</w:t>
            </w:r>
          </w:p>
          <w:p w:rsidR="00D4704C" w:rsidRPr="00D4704C" w:rsidRDefault="00D4704C" w:rsidP="00494D12">
            <w:pPr>
              <w:rPr>
                <w:rFonts w:ascii="Arial" w:hAnsi="Arial" w:cs="Arial"/>
                <w:color w:val="165788"/>
              </w:rPr>
            </w:pPr>
            <w:r w:rsidRPr="00D4704C">
              <w:rPr>
                <w:rFonts w:ascii="Arial" w:hAnsi="Arial" w:cs="Arial"/>
                <w:color w:val="165788"/>
              </w:rPr>
              <w:t>M2 4EW</w:t>
            </w:r>
          </w:p>
        </w:tc>
      </w:tr>
      <w:tr w:rsidR="00D4704C" w:rsidRPr="00D4704C" w:rsidTr="00142C14">
        <w:tc>
          <w:tcPr>
            <w:tcW w:w="6374" w:type="dxa"/>
            <w:vAlign w:val="center"/>
          </w:tcPr>
          <w:p w:rsidR="00D4704C" w:rsidRPr="00D4704C" w:rsidRDefault="00D4704C" w:rsidP="00494D12">
            <w:pPr>
              <w:rPr>
                <w:rFonts w:ascii="Arial" w:hAnsi="Arial" w:cs="Arial"/>
                <w:color w:val="165788"/>
              </w:rPr>
            </w:pPr>
            <w:r w:rsidRPr="00D4704C">
              <w:rPr>
                <w:rFonts w:ascii="Arial" w:hAnsi="Arial" w:cs="Arial"/>
                <w:color w:val="165788"/>
              </w:rPr>
              <w:t>Business Plan Advisors</w:t>
            </w:r>
          </w:p>
        </w:tc>
        <w:tc>
          <w:tcPr>
            <w:tcW w:w="6799" w:type="dxa"/>
          </w:tcPr>
          <w:p w:rsidR="00D4704C" w:rsidRPr="00D4704C" w:rsidRDefault="00D4704C" w:rsidP="00494D12">
            <w:pPr>
              <w:rPr>
                <w:rFonts w:ascii="Arial" w:hAnsi="Arial" w:cs="Arial"/>
                <w:color w:val="165788"/>
              </w:rPr>
            </w:pPr>
            <w:r w:rsidRPr="00D4704C">
              <w:rPr>
                <w:rFonts w:ascii="Arial" w:hAnsi="Arial" w:cs="Arial"/>
                <w:color w:val="165788"/>
              </w:rPr>
              <w:t>Altair Consultancy &amp; Advisory Services Ltd,</w:t>
            </w:r>
          </w:p>
          <w:p w:rsidR="00D4704C" w:rsidRPr="00D4704C" w:rsidRDefault="00D4704C" w:rsidP="00494D12">
            <w:pPr>
              <w:rPr>
                <w:rFonts w:ascii="Arial" w:hAnsi="Arial" w:cs="Arial"/>
                <w:color w:val="165788"/>
              </w:rPr>
            </w:pPr>
            <w:r w:rsidRPr="00D4704C">
              <w:rPr>
                <w:rFonts w:ascii="Arial" w:hAnsi="Arial" w:cs="Arial"/>
                <w:color w:val="165788"/>
              </w:rPr>
              <w:t>Tempus Wharf,</w:t>
            </w:r>
          </w:p>
          <w:p w:rsidR="00D4704C" w:rsidRPr="00D4704C" w:rsidRDefault="00D4704C" w:rsidP="00494D12">
            <w:pPr>
              <w:rPr>
                <w:rFonts w:ascii="Arial" w:hAnsi="Arial" w:cs="Arial"/>
                <w:color w:val="165788"/>
              </w:rPr>
            </w:pPr>
            <w:r w:rsidRPr="00D4704C">
              <w:rPr>
                <w:rFonts w:ascii="Arial" w:hAnsi="Arial" w:cs="Arial"/>
                <w:color w:val="165788"/>
              </w:rPr>
              <w:t>29a Bermondsey Wall West,</w:t>
            </w:r>
          </w:p>
          <w:p w:rsidR="00D4704C" w:rsidRPr="00D4704C" w:rsidRDefault="00D4704C" w:rsidP="00494D12">
            <w:pPr>
              <w:rPr>
                <w:rFonts w:ascii="Arial" w:hAnsi="Arial" w:cs="Arial"/>
                <w:color w:val="165788"/>
              </w:rPr>
            </w:pPr>
            <w:r w:rsidRPr="00D4704C">
              <w:rPr>
                <w:rFonts w:ascii="Arial" w:hAnsi="Arial" w:cs="Arial"/>
                <w:color w:val="165788"/>
              </w:rPr>
              <w:t>London,</w:t>
            </w:r>
          </w:p>
          <w:p w:rsidR="00D4704C" w:rsidRPr="00D4704C" w:rsidRDefault="00D4704C" w:rsidP="00494D12">
            <w:pPr>
              <w:rPr>
                <w:rFonts w:ascii="Arial" w:hAnsi="Arial" w:cs="Arial"/>
                <w:color w:val="165788"/>
              </w:rPr>
            </w:pPr>
            <w:r w:rsidRPr="00D4704C">
              <w:rPr>
                <w:rFonts w:ascii="Arial" w:hAnsi="Arial" w:cs="Arial"/>
                <w:color w:val="165788"/>
              </w:rPr>
              <w:t>SE16 4SA</w:t>
            </w:r>
          </w:p>
        </w:tc>
      </w:tr>
      <w:tr w:rsidR="00D4704C" w:rsidRPr="00D4704C" w:rsidTr="00142C14">
        <w:tc>
          <w:tcPr>
            <w:tcW w:w="6374" w:type="dxa"/>
            <w:vAlign w:val="center"/>
          </w:tcPr>
          <w:p w:rsidR="00D4704C" w:rsidRPr="00D4704C" w:rsidRDefault="00D4704C" w:rsidP="00494D12">
            <w:pPr>
              <w:rPr>
                <w:rFonts w:ascii="Arial" w:hAnsi="Arial" w:cs="Arial"/>
                <w:color w:val="165788"/>
              </w:rPr>
            </w:pPr>
            <w:r w:rsidRPr="00D4704C">
              <w:rPr>
                <w:rFonts w:ascii="Arial" w:hAnsi="Arial" w:cs="Arial"/>
                <w:color w:val="165788"/>
              </w:rPr>
              <w:t>Employment and Health and Safety Advisors</w:t>
            </w:r>
          </w:p>
        </w:tc>
        <w:tc>
          <w:tcPr>
            <w:tcW w:w="6799" w:type="dxa"/>
          </w:tcPr>
          <w:p w:rsidR="00D4704C" w:rsidRPr="00D4704C" w:rsidRDefault="00D4704C" w:rsidP="00494D12">
            <w:pPr>
              <w:rPr>
                <w:rFonts w:ascii="Arial" w:hAnsi="Arial" w:cs="Arial"/>
                <w:color w:val="165788"/>
              </w:rPr>
            </w:pPr>
            <w:r w:rsidRPr="00D4704C">
              <w:rPr>
                <w:rFonts w:ascii="Arial" w:hAnsi="Arial" w:cs="Arial"/>
                <w:color w:val="165788"/>
              </w:rPr>
              <w:t>Citation</w:t>
            </w:r>
          </w:p>
          <w:p w:rsidR="00D4704C" w:rsidRPr="00D4704C" w:rsidRDefault="00D4704C" w:rsidP="00494D12">
            <w:pPr>
              <w:rPr>
                <w:rFonts w:ascii="Arial" w:hAnsi="Arial" w:cs="Arial"/>
                <w:color w:val="165788"/>
              </w:rPr>
            </w:pPr>
            <w:r w:rsidRPr="00D4704C">
              <w:rPr>
                <w:rFonts w:ascii="Arial" w:hAnsi="Arial" w:cs="Arial"/>
                <w:color w:val="165788"/>
              </w:rPr>
              <w:t>Kings Court,</w:t>
            </w:r>
          </w:p>
          <w:p w:rsidR="00D4704C" w:rsidRPr="00D4704C" w:rsidRDefault="00D4704C" w:rsidP="00494D12">
            <w:pPr>
              <w:rPr>
                <w:rFonts w:ascii="Arial" w:hAnsi="Arial" w:cs="Arial"/>
                <w:color w:val="165788"/>
              </w:rPr>
            </w:pPr>
            <w:r w:rsidRPr="00D4704C">
              <w:rPr>
                <w:rFonts w:ascii="Arial" w:hAnsi="Arial" w:cs="Arial"/>
                <w:color w:val="165788"/>
              </w:rPr>
              <w:t>Water Lane,</w:t>
            </w:r>
          </w:p>
          <w:p w:rsidR="00D4704C" w:rsidRPr="00D4704C" w:rsidRDefault="00D4704C" w:rsidP="00494D12">
            <w:pPr>
              <w:rPr>
                <w:rFonts w:ascii="Arial" w:hAnsi="Arial" w:cs="Arial"/>
                <w:color w:val="165788"/>
              </w:rPr>
            </w:pPr>
            <w:r w:rsidRPr="00D4704C">
              <w:rPr>
                <w:rFonts w:ascii="Arial" w:hAnsi="Arial" w:cs="Arial"/>
                <w:color w:val="165788"/>
              </w:rPr>
              <w:t>Wilmslow,</w:t>
            </w:r>
          </w:p>
          <w:p w:rsidR="00D4704C" w:rsidRPr="00D4704C" w:rsidRDefault="00D4704C" w:rsidP="00494D12">
            <w:pPr>
              <w:rPr>
                <w:rFonts w:ascii="Arial" w:hAnsi="Arial" w:cs="Arial"/>
                <w:color w:val="165788"/>
              </w:rPr>
            </w:pPr>
            <w:r w:rsidRPr="00D4704C">
              <w:rPr>
                <w:rFonts w:ascii="Arial" w:hAnsi="Arial" w:cs="Arial"/>
                <w:color w:val="165788"/>
              </w:rPr>
              <w:t>Cheshire,</w:t>
            </w:r>
          </w:p>
          <w:p w:rsidR="00D4704C" w:rsidRPr="00D4704C" w:rsidRDefault="00D4704C" w:rsidP="00494D12">
            <w:pPr>
              <w:rPr>
                <w:rFonts w:ascii="Arial" w:hAnsi="Arial" w:cs="Arial"/>
                <w:color w:val="165788"/>
              </w:rPr>
            </w:pPr>
            <w:r w:rsidRPr="00D4704C">
              <w:rPr>
                <w:rFonts w:ascii="Arial" w:hAnsi="Arial" w:cs="Arial"/>
                <w:color w:val="165788"/>
              </w:rPr>
              <w:t>SK9 5AR</w:t>
            </w:r>
          </w:p>
        </w:tc>
      </w:tr>
      <w:tr w:rsidR="00D4704C" w:rsidRPr="00D4704C" w:rsidTr="00142C14">
        <w:tc>
          <w:tcPr>
            <w:tcW w:w="6374" w:type="dxa"/>
            <w:vAlign w:val="center"/>
          </w:tcPr>
          <w:p w:rsidR="00D4704C" w:rsidRPr="00D4704C" w:rsidRDefault="00D4704C" w:rsidP="00494D12">
            <w:pPr>
              <w:rPr>
                <w:rFonts w:ascii="Arial" w:hAnsi="Arial" w:cs="Arial"/>
                <w:color w:val="165788"/>
              </w:rPr>
            </w:pPr>
            <w:r w:rsidRPr="00D4704C">
              <w:rPr>
                <w:rFonts w:ascii="Arial" w:hAnsi="Arial" w:cs="Arial"/>
                <w:color w:val="165788"/>
              </w:rPr>
              <w:t>Disaster Recovery</w:t>
            </w:r>
          </w:p>
        </w:tc>
        <w:tc>
          <w:tcPr>
            <w:tcW w:w="6799" w:type="dxa"/>
          </w:tcPr>
          <w:p w:rsidR="00D4704C" w:rsidRPr="00D4704C" w:rsidRDefault="00D4704C" w:rsidP="00494D12">
            <w:pPr>
              <w:rPr>
                <w:rFonts w:ascii="Arial" w:hAnsi="Arial" w:cs="Arial"/>
                <w:color w:val="165788"/>
              </w:rPr>
            </w:pPr>
            <w:r w:rsidRPr="00D4704C">
              <w:rPr>
                <w:rFonts w:ascii="Arial" w:hAnsi="Arial" w:cs="Arial"/>
                <w:color w:val="165788"/>
              </w:rPr>
              <w:t>Central Networks &amp; Technologies ltd</w:t>
            </w:r>
          </w:p>
          <w:p w:rsidR="00D4704C" w:rsidRPr="00D4704C" w:rsidRDefault="00D4704C" w:rsidP="00494D12">
            <w:pPr>
              <w:rPr>
                <w:rFonts w:ascii="Arial" w:hAnsi="Arial" w:cs="Arial"/>
                <w:color w:val="165788"/>
              </w:rPr>
            </w:pPr>
            <w:r w:rsidRPr="00D4704C">
              <w:rPr>
                <w:rFonts w:ascii="Arial" w:hAnsi="Arial" w:cs="Arial"/>
                <w:color w:val="165788"/>
              </w:rPr>
              <w:t>Rowan House</w:t>
            </w:r>
          </w:p>
          <w:p w:rsidR="00D4704C" w:rsidRPr="00D4704C" w:rsidRDefault="00D4704C" w:rsidP="00494D12">
            <w:pPr>
              <w:rPr>
                <w:rFonts w:ascii="Arial" w:hAnsi="Arial" w:cs="Arial"/>
                <w:color w:val="165788"/>
              </w:rPr>
            </w:pPr>
            <w:r w:rsidRPr="00D4704C">
              <w:rPr>
                <w:rFonts w:ascii="Arial" w:hAnsi="Arial" w:cs="Arial"/>
                <w:color w:val="165788"/>
              </w:rPr>
              <w:t>Sandbrook Way</w:t>
            </w:r>
          </w:p>
          <w:p w:rsidR="00D4704C" w:rsidRPr="00D4704C" w:rsidRDefault="00D4704C" w:rsidP="00494D12">
            <w:pPr>
              <w:rPr>
                <w:rFonts w:ascii="Arial" w:hAnsi="Arial" w:cs="Arial"/>
                <w:color w:val="165788"/>
              </w:rPr>
            </w:pPr>
            <w:r w:rsidRPr="00D4704C">
              <w:rPr>
                <w:rFonts w:ascii="Arial" w:hAnsi="Arial" w:cs="Arial"/>
                <w:color w:val="165788"/>
              </w:rPr>
              <w:t>Rochdale OR11 1LQ</w:t>
            </w:r>
          </w:p>
        </w:tc>
      </w:tr>
      <w:tr w:rsidR="00D4704C" w:rsidRPr="00D4704C" w:rsidTr="00142C14">
        <w:tc>
          <w:tcPr>
            <w:tcW w:w="6374" w:type="dxa"/>
            <w:vAlign w:val="center"/>
          </w:tcPr>
          <w:p w:rsidR="00D4704C" w:rsidRPr="00D4704C" w:rsidRDefault="00D4704C" w:rsidP="00494D12">
            <w:pPr>
              <w:rPr>
                <w:rFonts w:ascii="Arial" w:hAnsi="Arial" w:cs="Arial"/>
                <w:color w:val="165788"/>
              </w:rPr>
            </w:pPr>
            <w:r w:rsidRPr="00D4704C">
              <w:rPr>
                <w:rFonts w:ascii="Arial" w:hAnsi="Arial" w:cs="Arial"/>
                <w:color w:val="165788"/>
              </w:rPr>
              <w:t>Cyber Security</w:t>
            </w:r>
          </w:p>
        </w:tc>
        <w:tc>
          <w:tcPr>
            <w:tcW w:w="6799" w:type="dxa"/>
          </w:tcPr>
          <w:p w:rsidR="00D4704C" w:rsidRPr="00D4704C" w:rsidRDefault="00D4704C" w:rsidP="00494D12">
            <w:pPr>
              <w:rPr>
                <w:rFonts w:ascii="Arial" w:hAnsi="Arial" w:cs="Arial"/>
                <w:color w:val="165788"/>
                <w:lang w:eastAsia="en-GB" w:bidi="ar-SA"/>
              </w:rPr>
            </w:pPr>
            <w:r w:rsidRPr="00D4704C">
              <w:rPr>
                <w:rFonts w:ascii="Arial" w:hAnsi="Arial" w:cs="Arial"/>
                <w:color w:val="165788"/>
              </w:rPr>
              <w:t>The Arawak Group</w:t>
            </w:r>
          </w:p>
          <w:p w:rsidR="00D4704C" w:rsidRPr="00D4704C" w:rsidRDefault="00D4704C" w:rsidP="00494D12">
            <w:pPr>
              <w:rPr>
                <w:rFonts w:ascii="Arial" w:hAnsi="Arial" w:cs="Arial"/>
                <w:color w:val="165788"/>
              </w:rPr>
            </w:pPr>
            <w:r w:rsidRPr="00D4704C">
              <w:rPr>
                <w:rFonts w:ascii="Arial" w:hAnsi="Arial" w:cs="Arial"/>
                <w:color w:val="165788"/>
              </w:rPr>
              <w:t>64 Syon Park Gardens</w:t>
            </w:r>
          </w:p>
          <w:p w:rsidR="00D4704C" w:rsidRPr="00D4704C" w:rsidRDefault="00D4704C" w:rsidP="00494D12">
            <w:pPr>
              <w:rPr>
                <w:rFonts w:ascii="Arial" w:hAnsi="Arial" w:cs="Arial"/>
                <w:color w:val="165788"/>
              </w:rPr>
            </w:pPr>
            <w:r w:rsidRPr="00D4704C">
              <w:rPr>
                <w:rFonts w:ascii="Arial" w:hAnsi="Arial" w:cs="Arial"/>
                <w:color w:val="165788"/>
              </w:rPr>
              <w:t>London</w:t>
            </w:r>
          </w:p>
          <w:p w:rsidR="00D4704C" w:rsidRPr="00D4704C" w:rsidRDefault="00D4704C" w:rsidP="00494D12">
            <w:pPr>
              <w:rPr>
                <w:rFonts w:ascii="Arial" w:hAnsi="Arial" w:cs="Arial"/>
                <w:color w:val="165788"/>
              </w:rPr>
            </w:pPr>
            <w:r w:rsidRPr="00D4704C">
              <w:rPr>
                <w:rFonts w:ascii="Arial" w:hAnsi="Arial" w:cs="Arial"/>
                <w:color w:val="165788"/>
              </w:rPr>
              <w:t>TW7 5ND</w:t>
            </w:r>
          </w:p>
        </w:tc>
      </w:tr>
      <w:tr w:rsidR="00D4704C" w:rsidRPr="00D4704C" w:rsidTr="00142C14">
        <w:tc>
          <w:tcPr>
            <w:tcW w:w="6374" w:type="dxa"/>
            <w:vAlign w:val="center"/>
          </w:tcPr>
          <w:p w:rsidR="00D4704C" w:rsidRPr="00D4704C" w:rsidRDefault="00D4704C" w:rsidP="00494D12">
            <w:pPr>
              <w:rPr>
                <w:rFonts w:ascii="Arial" w:hAnsi="Arial" w:cs="Arial"/>
                <w:color w:val="165788"/>
              </w:rPr>
            </w:pPr>
            <w:r>
              <w:rPr>
                <w:rFonts w:ascii="Arial" w:hAnsi="Arial" w:cs="Arial"/>
                <w:color w:val="165788"/>
              </w:rPr>
              <w:t>Data Protection &amp; the General Data Protection Regulations</w:t>
            </w:r>
          </w:p>
        </w:tc>
        <w:tc>
          <w:tcPr>
            <w:tcW w:w="6799" w:type="dxa"/>
          </w:tcPr>
          <w:p w:rsidR="00D4704C" w:rsidRPr="00D4704C" w:rsidRDefault="00D4704C" w:rsidP="00D4704C">
            <w:pPr>
              <w:rPr>
                <w:rFonts w:ascii="Arial" w:hAnsi="Arial" w:cs="Arial"/>
                <w:color w:val="165788"/>
                <w:lang w:eastAsia="en-GB" w:bidi="ar-SA"/>
              </w:rPr>
            </w:pPr>
            <w:r w:rsidRPr="00D4704C">
              <w:rPr>
                <w:rFonts w:ascii="Arial" w:hAnsi="Arial" w:cs="Arial"/>
                <w:color w:val="165788"/>
              </w:rPr>
              <w:t>The Arawak Group</w:t>
            </w:r>
          </w:p>
          <w:p w:rsidR="00D4704C" w:rsidRPr="00D4704C" w:rsidRDefault="00D4704C" w:rsidP="00D4704C">
            <w:pPr>
              <w:rPr>
                <w:rFonts w:ascii="Arial" w:hAnsi="Arial" w:cs="Arial"/>
                <w:color w:val="165788"/>
              </w:rPr>
            </w:pPr>
            <w:r w:rsidRPr="00D4704C">
              <w:rPr>
                <w:rFonts w:ascii="Arial" w:hAnsi="Arial" w:cs="Arial"/>
                <w:color w:val="165788"/>
              </w:rPr>
              <w:t>64 Syon Park Gardens</w:t>
            </w:r>
          </w:p>
          <w:p w:rsidR="00D4704C" w:rsidRPr="00D4704C" w:rsidRDefault="00D4704C" w:rsidP="00D4704C">
            <w:pPr>
              <w:rPr>
                <w:rFonts w:ascii="Arial" w:hAnsi="Arial" w:cs="Arial"/>
                <w:color w:val="165788"/>
              </w:rPr>
            </w:pPr>
            <w:r w:rsidRPr="00D4704C">
              <w:rPr>
                <w:rFonts w:ascii="Arial" w:hAnsi="Arial" w:cs="Arial"/>
                <w:color w:val="165788"/>
              </w:rPr>
              <w:t>London</w:t>
            </w:r>
          </w:p>
          <w:p w:rsidR="00D4704C" w:rsidRPr="00D4704C" w:rsidRDefault="00D4704C" w:rsidP="00D4704C">
            <w:pPr>
              <w:rPr>
                <w:rFonts w:ascii="Arial" w:hAnsi="Arial" w:cs="Arial"/>
                <w:color w:val="165788"/>
              </w:rPr>
            </w:pPr>
            <w:r w:rsidRPr="00D4704C">
              <w:rPr>
                <w:rFonts w:ascii="Arial" w:hAnsi="Arial" w:cs="Arial"/>
                <w:color w:val="165788"/>
              </w:rPr>
              <w:t>TW7 5ND</w:t>
            </w:r>
          </w:p>
        </w:tc>
      </w:tr>
      <w:tr w:rsidR="00D4704C" w:rsidRPr="00D4704C" w:rsidTr="00142C14">
        <w:tc>
          <w:tcPr>
            <w:tcW w:w="6374" w:type="dxa"/>
            <w:vAlign w:val="center"/>
          </w:tcPr>
          <w:p w:rsidR="00D4704C" w:rsidRPr="00D4704C" w:rsidRDefault="00D4704C" w:rsidP="00494D12">
            <w:pPr>
              <w:rPr>
                <w:rFonts w:ascii="Arial" w:hAnsi="Arial" w:cs="Arial"/>
                <w:color w:val="165788"/>
              </w:rPr>
            </w:pPr>
            <w:r w:rsidRPr="00D4704C">
              <w:rPr>
                <w:rFonts w:ascii="Arial" w:hAnsi="Arial" w:cs="Arial"/>
                <w:color w:val="165788"/>
              </w:rPr>
              <w:t>Fire Risk</w:t>
            </w:r>
          </w:p>
        </w:tc>
        <w:tc>
          <w:tcPr>
            <w:tcW w:w="6799" w:type="dxa"/>
          </w:tcPr>
          <w:p w:rsidR="00D4704C" w:rsidRPr="00D4704C" w:rsidRDefault="00D4704C" w:rsidP="00494D12">
            <w:pPr>
              <w:rPr>
                <w:rFonts w:ascii="Arial" w:hAnsi="Arial" w:cs="Arial"/>
                <w:color w:val="165788"/>
              </w:rPr>
            </w:pPr>
            <w:r w:rsidRPr="00D4704C">
              <w:rPr>
                <w:rFonts w:ascii="Arial" w:hAnsi="Arial" w:cs="Arial"/>
                <w:color w:val="165788"/>
              </w:rPr>
              <w:t>Fire Surveys</w:t>
            </w:r>
          </w:p>
          <w:p w:rsidR="00D4704C" w:rsidRPr="00D4704C" w:rsidRDefault="00D4704C" w:rsidP="00494D12">
            <w:pPr>
              <w:pStyle w:val="NoSpacing"/>
              <w:rPr>
                <w:rFonts w:ascii="Arial" w:hAnsi="Arial" w:cs="Arial"/>
                <w:color w:val="165788"/>
                <w:lang w:val="en-US"/>
              </w:rPr>
            </w:pPr>
            <w:r w:rsidRPr="00D4704C">
              <w:rPr>
                <w:rFonts w:ascii="Arial" w:hAnsi="Arial" w:cs="Arial"/>
                <w:color w:val="165788"/>
                <w:lang w:val="en-US"/>
              </w:rPr>
              <w:t>First Floor</w:t>
            </w:r>
          </w:p>
          <w:p w:rsidR="00D4704C" w:rsidRPr="00D4704C" w:rsidRDefault="00D4704C" w:rsidP="00494D12">
            <w:pPr>
              <w:pStyle w:val="NoSpacing"/>
              <w:rPr>
                <w:rFonts w:ascii="Arial" w:hAnsi="Arial" w:cs="Arial"/>
                <w:color w:val="165788"/>
                <w:lang w:val="en-US"/>
              </w:rPr>
            </w:pPr>
            <w:r w:rsidRPr="00D4704C">
              <w:rPr>
                <w:rFonts w:ascii="Arial" w:hAnsi="Arial" w:cs="Arial"/>
                <w:color w:val="165788"/>
                <w:lang w:val="en-US"/>
              </w:rPr>
              <w:t>7A Market Street</w:t>
            </w:r>
          </w:p>
          <w:p w:rsidR="00D4704C" w:rsidRPr="00D4704C" w:rsidRDefault="00D4704C" w:rsidP="00494D12">
            <w:pPr>
              <w:pStyle w:val="NoSpacing"/>
              <w:rPr>
                <w:rFonts w:ascii="Arial" w:hAnsi="Arial" w:cs="Arial"/>
                <w:color w:val="165788"/>
                <w:lang w:val="en-US"/>
              </w:rPr>
            </w:pPr>
            <w:r w:rsidRPr="00D4704C">
              <w:rPr>
                <w:rFonts w:ascii="Arial" w:hAnsi="Arial" w:cs="Arial"/>
                <w:color w:val="165788"/>
                <w:lang w:val="en-US"/>
              </w:rPr>
              <w:t>Crediton</w:t>
            </w:r>
          </w:p>
          <w:p w:rsidR="00D4704C" w:rsidRPr="00D4704C" w:rsidRDefault="00D4704C" w:rsidP="00494D12">
            <w:pPr>
              <w:pStyle w:val="NoSpacing"/>
              <w:rPr>
                <w:rFonts w:ascii="Arial" w:hAnsi="Arial" w:cs="Arial"/>
                <w:color w:val="165788"/>
                <w:lang w:val="en-US"/>
              </w:rPr>
            </w:pPr>
            <w:r w:rsidRPr="00D4704C">
              <w:rPr>
                <w:rFonts w:ascii="Arial" w:hAnsi="Arial" w:cs="Arial"/>
                <w:color w:val="165788"/>
                <w:lang w:val="en-US"/>
              </w:rPr>
              <w:t>Devon</w:t>
            </w:r>
          </w:p>
          <w:p w:rsidR="00D4704C" w:rsidRPr="00D4704C" w:rsidRDefault="00D4704C" w:rsidP="00D4704C">
            <w:pPr>
              <w:pStyle w:val="NoSpacing"/>
              <w:rPr>
                <w:rFonts w:ascii="Arial" w:hAnsi="Arial" w:cs="Arial"/>
                <w:color w:val="165788"/>
              </w:rPr>
            </w:pPr>
            <w:r w:rsidRPr="00D4704C">
              <w:rPr>
                <w:rFonts w:ascii="Arial" w:hAnsi="Arial" w:cs="Arial"/>
                <w:color w:val="165788"/>
                <w:lang w:val="en-US"/>
              </w:rPr>
              <w:t>EX17 2EE</w:t>
            </w:r>
          </w:p>
        </w:tc>
      </w:tr>
    </w:tbl>
    <w:p w:rsidR="000A5CCB" w:rsidRDefault="000A5CCB">
      <w:pPr>
        <w:rPr>
          <w:rFonts w:ascii="Arial" w:hAnsi="Arial" w:cs="Arial"/>
        </w:rPr>
      </w:pPr>
    </w:p>
    <w:p w:rsidR="000A5CCB" w:rsidRDefault="000A5CCB">
      <w:pPr>
        <w:rPr>
          <w:rFonts w:ascii="Arial" w:hAnsi="Arial" w:cs="Arial"/>
        </w:rPr>
      </w:pPr>
    </w:p>
    <w:p w:rsidR="00920908" w:rsidRPr="00D4704C" w:rsidRDefault="00947885">
      <w:pPr>
        <w:rPr>
          <w:rFonts w:ascii="Arial" w:hAnsi="Arial" w:cs="Arial"/>
          <w:color w:val="165788"/>
        </w:rPr>
      </w:pPr>
      <w:r w:rsidRPr="00D4704C">
        <w:rPr>
          <w:rFonts w:ascii="Arial" w:hAnsi="Arial" w:cs="Arial"/>
          <w:color w:val="165788"/>
        </w:rPr>
        <w:t xml:space="preserve">Benchmarking </w:t>
      </w:r>
      <w:r w:rsidR="00672E86" w:rsidRPr="00D4704C">
        <w:rPr>
          <w:rFonts w:ascii="Arial" w:hAnsi="Arial" w:cs="Arial"/>
          <w:color w:val="165788"/>
        </w:rPr>
        <w:t>Note –</w:t>
      </w:r>
      <w:r w:rsidRPr="00D4704C">
        <w:rPr>
          <w:rFonts w:ascii="Arial" w:hAnsi="Arial" w:cs="Arial"/>
          <w:color w:val="165788"/>
        </w:rPr>
        <w:t xml:space="preserve"> unless otherwise stated all benchmarks referenced in this report are based on Housemark </w:t>
      </w:r>
      <w:r w:rsidR="002362E0" w:rsidRPr="00D4704C">
        <w:rPr>
          <w:rFonts w:ascii="Arial" w:hAnsi="Arial" w:cs="Arial"/>
          <w:color w:val="165788"/>
        </w:rPr>
        <w:t xml:space="preserve">Central </w:t>
      </w:r>
      <w:r w:rsidRPr="00D4704C">
        <w:rPr>
          <w:rFonts w:ascii="Arial" w:hAnsi="Arial" w:cs="Arial"/>
          <w:color w:val="165788"/>
        </w:rPr>
        <w:t xml:space="preserve">LSVT </w:t>
      </w:r>
      <w:r w:rsidR="00E430E6" w:rsidRPr="00D4704C">
        <w:rPr>
          <w:rFonts w:ascii="Arial" w:hAnsi="Arial" w:cs="Arial"/>
          <w:color w:val="165788"/>
        </w:rPr>
        <w:t xml:space="preserve">(2,500 – 7,500 units) </w:t>
      </w:r>
      <w:r w:rsidRPr="00D4704C">
        <w:rPr>
          <w:rFonts w:ascii="Arial" w:hAnsi="Arial" w:cs="Arial"/>
          <w:color w:val="165788"/>
        </w:rPr>
        <w:t>Club 20</w:t>
      </w:r>
      <w:r w:rsidR="00920908" w:rsidRPr="00D4704C">
        <w:rPr>
          <w:rFonts w:ascii="Arial" w:hAnsi="Arial" w:cs="Arial"/>
          <w:color w:val="165788"/>
        </w:rPr>
        <w:t>1</w:t>
      </w:r>
      <w:r w:rsidR="00D4704C" w:rsidRPr="00D4704C">
        <w:rPr>
          <w:rFonts w:ascii="Arial" w:hAnsi="Arial" w:cs="Arial"/>
          <w:color w:val="165788"/>
        </w:rPr>
        <w:t>6</w:t>
      </w:r>
      <w:r w:rsidRPr="00D4704C">
        <w:rPr>
          <w:rFonts w:ascii="Arial" w:hAnsi="Arial" w:cs="Arial"/>
          <w:color w:val="165788"/>
        </w:rPr>
        <w:t>/1</w:t>
      </w:r>
      <w:r w:rsidR="00D4704C" w:rsidRPr="00D4704C">
        <w:rPr>
          <w:rFonts w:ascii="Arial" w:hAnsi="Arial" w:cs="Arial"/>
          <w:color w:val="165788"/>
        </w:rPr>
        <w:t>7</w:t>
      </w:r>
      <w:r w:rsidR="00867202" w:rsidRPr="00D4704C">
        <w:rPr>
          <w:rFonts w:ascii="Arial" w:hAnsi="Arial" w:cs="Arial"/>
          <w:color w:val="165788"/>
        </w:rPr>
        <w:t xml:space="preserve"> </w:t>
      </w:r>
      <w:r w:rsidR="0056076E" w:rsidRPr="00D4704C">
        <w:rPr>
          <w:rFonts w:ascii="Arial" w:hAnsi="Arial" w:cs="Arial"/>
          <w:color w:val="165788"/>
        </w:rPr>
        <w:t>September</w:t>
      </w:r>
      <w:r w:rsidRPr="00D4704C">
        <w:rPr>
          <w:rFonts w:ascii="Arial" w:hAnsi="Arial" w:cs="Arial"/>
          <w:color w:val="165788"/>
        </w:rPr>
        <w:t xml:space="preserve"> </w:t>
      </w:r>
      <w:r w:rsidR="00867202" w:rsidRPr="00D4704C">
        <w:rPr>
          <w:rFonts w:ascii="Arial" w:hAnsi="Arial" w:cs="Arial"/>
          <w:color w:val="165788"/>
        </w:rPr>
        <w:t>201</w:t>
      </w:r>
      <w:r w:rsidR="00D4704C" w:rsidRPr="00D4704C">
        <w:rPr>
          <w:rFonts w:ascii="Arial" w:hAnsi="Arial" w:cs="Arial"/>
          <w:color w:val="165788"/>
        </w:rPr>
        <w:t>7</w:t>
      </w:r>
      <w:r w:rsidR="00867202" w:rsidRPr="00D4704C">
        <w:rPr>
          <w:rFonts w:ascii="Arial" w:hAnsi="Arial" w:cs="Arial"/>
          <w:color w:val="165788"/>
        </w:rPr>
        <w:t>.</w:t>
      </w:r>
    </w:p>
    <w:p w:rsidR="00222976" w:rsidRPr="00E430E6" w:rsidRDefault="00222976">
      <w:pPr>
        <w:rPr>
          <w:rFonts w:ascii="Arial" w:hAnsi="Arial" w:cs="Arial"/>
          <w:color w:val="009B3A"/>
        </w:rPr>
      </w:pPr>
      <w:r w:rsidRPr="00E430E6">
        <w:rPr>
          <w:rFonts w:ascii="Arial" w:hAnsi="Arial" w:cs="Arial"/>
          <w:color w:val="009B3A"/>
        </w:rPr>
        <w:br w:type="page"/>
      </w:r>
    </w:p>
    <w:p w:rsidR="00BC1894" w:rsidRDefault="00BC1894">
      <w:pPr>
        <w:rPr>
          <w:rFonts w:ascii="Arial" w:hAnsi="Arial" w:cs="Arial"/>
          <w:b/>
          <w:color w:val="165788"/>
          <w:sz w:val="28"/>
          <w:szCs w:val="28"/>
        </w:rPr>
      </w:pPr>
      <w:r>
        <w:rPr>
          <w:rFonts w:ascii="Arial" w:hAnsi="Arial" w:cs="Arial"/>
          <w:b/>
          <w:color w:val="165788"/>
          <w:sz w:val="28"/>
          <w:szCs w:val="28"/>
        </w:rPr>
        <w:t>Executive Summary</w:t>
      </w:r>
    </w:p>
    <w:p w:rsidR="00BC1894" w:rsidRDefault="00BC1894">
      <w:pPr>
        <w:rPr>
          <w:rFonts w:ascii="Arial" w:hAnsi="Arial" w:cs="Arial"/>
          <w:b/>
          <w:color w:val="165788"/>
          <w:sz w:val="28"/>
          <w:szCs w:val="28"/>
        </w:rPr>
      </w:pPr>
    </w:p>
    <w:p w:rsidR="005C5389" w:rsidRPr="00D4704C" w:rsidRDefault="00CA240D">
      <w:pPr>
        <w:rPr>
          <w:rFonts w:ascii="Arial" w:hAnsi="Arial" w:cs="Arial"/>
          <w:b/>
          <w:color w:val="165788"/>
          <w:sz w:val="28"/>
          <w:szCs w:val="28"/>
        </w:rPr>
      </w:pPr>
      <w:r w:rsidRPr="00D4704C">
        <w:rPr>
          <w:rFonts w:ascii="Arial" w:hAnsi="Arial" w:cs="Arial"/>
          <w:b/>
          <w:color w:val="165788"/>
          <w:sz w:val="28"/>
          <w:szCs w:val="28"/>
        </w:rPr>
        <w:t>Introduction</w:t>
      </w:r>
    </w:p>
    <w:p w:rsidR="001A7AF0" w:rsidRPr="00D4704C" w:rsidRDefault="001A7AF0">
      <w:pPr>
        <w:rPr>
          <w:rFonts w:ascii="Arial" w:hAnsi="Arial" w:cs="Arial"/>
          <w:b/>
          <w:color w:val="165788"/>
          <w:sz w:val="28"/>
          <w:szCs w:val="28"/>
        </w:rPr>
      </w:pPr>
    </w:p>
    <w:p w:rsidR="00933F49" w:rsidRDefault="001A7AF0" w:rsidP="00245545">
      <w:pPr>
        <w:rPr>
          <w:rFonts w:ascii="Arial" w:hAnsi="Arial" w:cs="Arial"/>
          <w:color w:val="165788"/>
        </w:rPr>
      </w:pPr>
      <w:r w:rsidRPr="00D4704C">
        <w:rPr>
          <w:rFonts w:ascii="Arial" w:hAnsi="Arial" w:cs="Arial"/>
          <w:color w:val="165788"/>
        </w:rPr>
        <w:t xml:space="preserve">Each year the Board of bdht publishes an assessment of compliance with regulatory standards. </w:t>
      </w:r>
      <w:r w:rsidR="00E430E6" w:rsidRPr="00D4704C">
        <w:rPr>
          <w:rFonts w:ascii="Arial" w:hAnsi="Arial" w:cs="Arial"/>
          <w:color w:val="165788"/>
        </w:rPr>
        <w:t>T</w:t>
      </w:r>
      <w:r w:rsidRPr="00D4704C">
        <w:rPr>
          <w:rFonts w:ascii="Arial" w:hAnsi="Arial" w:cs="Arial"/>
          <w:color w:val="165788"/>
        </w:rPr>
        <w:t xml:space="preserve">he Board has commissioned the Compliance Committee to undertake a detailed assessment of compliance against the </w:t>
      </w:r>
      <w:r w:rsidR="00933F49">
        <w:rPr>
          <w:rFonts w:ascii="Arial" w:hAnsi="Arial" w:cs="Arial"/>
          <w:color w:val="165788"/>
        </w:rPr>
        <w:t>Regulator of Social Housing (</w:t>
      </w:r>
      <w:r w:rsidR="00D4704C">
        <w:rPr>
          <w:rFonts w:ascii="Arial" w:hAnsi="Arial" w:cs="Arial"/>
          <w:color w:val="165788"/>
        </w:rPr>
        <w:t>RSH</w:t>
      </w:r>
      <w:r w:rsidR="00933F49">
        <w:rPr>
          <w:rFonts w:ascii="Arial" w:hAnsi="Arial" w:cs="Arial"/>
          <w:color w:val="165788"/>
        </w:rPr>
        <w:t>)</w:t>
      </w:r>
      <w:r w:rsidRPr="00D4704C">
        <w:rPr>
          <w:rFonts w:ascii="Arial" w:hAnsi="Arial" w:cs="Arial"/>
          <w:color w:val="165788"/>
        </w:rPr>
        <w:t xml:space="preserve"> “economic standards” whilst the Tenant Panel and Performance </w:t>
      </w:r>
      <w:r w:rsidR="0038407A" w:rsidRPr="00D4704C">
        <w:rPr>
          <w:rFonts w:ascii="Arial" w:hAnsi="Arial" w:cs="Arial"/>
          <w:color w:val="165788"/>
        </w:rPr>
        <w:t xml:space="preserve">&amp; Review </w:t>
      </w:r>
      <w:r w:rsidRPr="00D4704C">
        <w:rPr>
          <w:rFonts w:ascii="Arial" w:hAnsi="Arial" w:cs="Arial"/>
          <w:color w:val="165788"/>
        </w:rPr>
        <w:t xml:space="preserve">Committee will undertake the same role in respect of the </w:t>
      </w:r>
      <w:r w:rsidR="00D4704C">
        <w:rPr>
          <w:rFonts w:ascii="Arial" w:hAnsi="Arial" w:cs="Arial"/>
          <w:color w:val="165788"/>
        </w:rPr>
        <w:t>RSH</w:t>
      </w:r>
      <w:r w:rsidRPr="00D4704C">
        <w:rPr>
          <w:rFonts w:ascii="Arial" w:hAnsi="Arial" w:cs="Arial"/>
          <w:color w:val="165788"/>
        </w:rPr>
        <w:t xml:space="preserve"> “consumer” standards. The Board will publish, within the annual accounts, a statement of compliance with the Governance and Financial Viability Standard based on </w:t>
      </w:r>
    </w:p>
    <w:p w:rsidR="00933F49" w:rsidRDefault="00933F49" w:rsidP="00245545">
      <w:pPr>
        <w:rPr>
          <w:rFonts w:ascii="Arial" w:hAnsi="Arial" w:cs="Arial"/>
          <w:color w:val="165788"/>
        </w:rPr>
      </w:pPr>
    </w:p>
    <w:p w:rsidR="00933F49" w:rsidRDefault="001A7AF0" w:rsidP="00933F49">
      <w:pPr>
        <w:pStyle w:val="ListParagraph"/>
        <w:numPr>
          <w:ilvl w:val="0"/>
          <w:numId w:val="39"/>
        </w:numPr>
        <w:rPr>
          <w:rFonts w:ascii="Arial" w:hAnsi="Arial" w:cs="Arial"/>
          <w:color w:val="165788"/>
        </w:rPr>
      </w:pPr>
      <w:r w:rsidRPr="00933F49">
        <w:rPr>
          <w:rFonts w:ascii="Arial" w:hAnsi="Arial" w:cs="Arial"/>
          <w:color w:val="165788"/>
        </w:rPr>
        <w:t>a detailed assessment against th</w:t>
      </w:r>
      <w:r w:rsidR="00D4704C" w:rsidRPr="00933F49">
        <w:rPr>
          <w:rFonts w:ascii="Arial" w:hAnsi="Arial" w:cs="Arial"/>
          <w:color w:val="165788"/>
        </w:rPr>
        <w:t>at</w:t>
      </w:r>
      <w:r w:rsidRPr="00933F49">
        <w:rPr>
          <w:rFonts w:ascii="Arial" w:hAnsi="Arial" w:cs="Arial"/>
          <w:color w:val="165788"/>
        </w:rPr>
        <w:t xml:space="preserve"> particular standard</w:t>
      </w:r>
      <w:r w:rsidR="00933F49">
        <w:rPr>
          <w:rFonts w:ascii="Arial" w:hAnsi="Arial" w:cs="Arial"/>
          <w:color w:val="165788"/>
        </w:rPr>
        <w:t>,</w:t>
      </w:r>
      <w:r w:rsidRPr="00933F49">
        <w:rPr>
          <w:rFonts w:ascii="Arial" w:hAnsi="Arial" w:cs="Arial"/>
          <w:color w:val="165788"/>
        </w:rPr>
        <w:t xml:space="preserve"> and </w:t>
      </w:r>
    </w:p>
    <w:p w:rsidR="00933F49" w:rsidRDefault="001A7AF0" w:rsidP="00933F49">
      <w:pPr>
        <w:pStyle w:val="ListParagraph"/>
        <w:numPr>
          <w:ilvl w:val="0"/>
          <w:numId w:val="39"/>
        </w:numPr>
        <w:rPr>
          <w:rFonts w:ascii="Arial" w:hAnsi="Arial" w:cs="Arial"/>
          <w:color w:val="165788"/>
        </w:rPr>
      </w:pPr>
      <w:r w:rsidRPr="00933F49">
        <w:rPr>
          <w:rFonts w:ascii="Arial" w:hAnsi="Arial" w:cs="Arial"/>
          <w:color w:val="165788"/>
        </w:rPr>
        <w:t xml:space="preserve">the overall assessment of compliance with all </w:t>
      </w:r>
      <w:r w:rsidR="00D4704C" w:rsidRPr="00933F49">
        <w:rPr>
          <w:rFonts w:ascii="Arial" w:hAnsi="Arial" w:cs="Arial"/>
          <w:color w:val="165788"/>
        </w:rPr>
        <w:t>RSH</w:t>
      </w:r>
      <w:r w:rsidRPr="00933F49">
        <w:rPr>
          <w:rFonts w:ascii="Arial" w:hAnsi="Arial" w:cs="Arial"/>
          <w:color w:val="165788"/>
        </w:rPr>
        <w:t xml:space="preserve"> standards. </w:t>
      </w:r>
    </w:p>
    <w:p w:rsidR="00933F49" w:rsidRDefault="00933F49" w:rsidP="00933F49">
      <w:pPr>
        <w:rPr>
          <w:rFonts w:ascii="Arial" w:hAnsi="Arial" w:cs="Arial"/>
          <w:color w:val="165788"/>
        </w:rPr>
      </w:pPr>
    </w:p>
    <w:p w:rsidR="00245545" w:rsidRPr="00933F49" w:rsidRDefault="00245545" w:rsidP="00933F49">
      <w:pPr>
        <w:rPr>
          <w:rFonts w:ascii="Arial" w:hAnsi="Arial" w:cs="Arial"/>
          <w:color w:val="165788"/>
        </w:rPr>
      </w:pPr>
      <w:r w:rsidRPr="00933F49">
        <w:rPr>
          <w:rFonts w:ascii="Arial" w:hAnsi="Arial" w:cs="Arial"/>
          <w:color w:val="165788"/>
        </w:rPr>
        <w:t xml:space="preserve">The detailed assessments of compliance against both “economic” and “consumer” standards will be published on the bdht website and summarised within the Annual Report to Tenants. </w:t>
      </w:r>
    </w:p>
    <w:p w:rsidR="001A7AF0" w:rsidRPr="00AC6B7B" w:rsidRDefault="001A7AF0">
      <w:pPr>
        <w:rPr>
          <w:rFonts w:ascii="Arial" w:hAnsi="Arial" w:cs="Arial"/>
          <w:color w:val="42145F"/>
        </w:rPr>
      </w:pPr>
    </w:p>
    <w:p w:rsidR="00142CC6" w:rsidRPr="00142C14" w:rsidRDefault="00C2618A">
      <w:pPr>
        <w:rPr>
          <w:rFonts w:ascii="Arial" w:hAnsi="Arial" w:cs="Arial"/>
          <w:b/>
          <w:color w:val="165788"/>
          <w:sz w:val="28"/>
          <w:szCs w:val="28"/>
        </w:rPr>
      </w:pPr>
      <w:r w:rsidRPr="00142C14">
        <w:rPr>
          <w:rFonts w:ascii="Arial" w:hAnsi="Arial" w:cs="Arial"/>
          <w:b/>
          <w:color w:val="165788"/>
          <w:sz w:val="28"/>
          <w:szCs w:val="28"/>
        </w:rPr>
        <w:t>Overview</w:t>
      </w:r>
    </w:p>
    <w:p w:rsidR="00050A94" w:rsidRPr="00142C14" w:rsidRDefault="00050A94" w:rsidP="00AC6B7B">
      <w:pPr>
        <w:rPr>
          <w:rFonts w:ascii="Arial" w:hAnsi="Arial" w:cs="Arial"/>
          <w:b/>
          <w:color w:val="165788"/>
          <w:sz w:val="28"/>
          <w:szCs w:val="28"/>
        </w:rPr>
      </w:pPr>
    </w:p>
    <w:p w:rsidR="00050A94" w:rsidRPr="00142C14" w:rsidRDefault="00050A94">
      <w:pPr>
        <w:rPr>
          <w:rFonts w:ascii="Arial" w:hAnsi="Arial" w:cs="Arial"/>
          <w:color w:val="165788"/>
        </w:rPr>
      </w:pPr>
      <w:r w:rsidRPr="00142C14">
        <w:rPr>
          <w:rFonts w:ascii="Arial" w:hAnsi="Arial" w:cs="Arial"/>
          <w:color w:val="165788"/>
        </w:rPr>
        <w:t>In April 2015 the Homes &amp; Communities Agency published revisions to the regulatory standards in particular the Governance &amp; Financial Viability Standard and Rent Standard. Changes to the Governance &amp; Financial Viability Standard and accompanying Code of Practice were targeted at:</w:t>
      </w:r>
    </w:p>
    <w:p w:rsidR="00050A94" w:rsidRPr="00142C14" w:rsidRDefault="00050A94" w:rsidP="00050A94">
      <w:pPr>
        <w:pStyle w:val="ListParagraph"/>
        <w:numPr>
          <w:ilvl w:val="0"/>
          <w:numId w:val="28"/>
        </w:numPr>
        <w:ind w:left="567" w:hanging="567"/>
        <w:rPr>
          <w:rFonts w:ascii="Arial" w:hAnsi="Arial" w:cs="Arial"/>
          <w:color w:val="165788"/>
        </w:rPr>
      </w:pPr>
      <w:r w:rsidRPr="00142C14">
        <w:rPr>
          <w:rFonts w:ascii="Arial" w:hAnsi="Arial" w:cs="Arial"/>
          <w:color w:val="165788"/>
        </w:rPr>
        <w:t xml:space="preserve">increasing the accountability of Boards, </w:t>
      </w:r>
    </w:p>
    <w:p w:rsidR="00050A94" w:rsidRPr="00142C14" w:rsidRDefault="00050A94" w:rsidP="00050A94">
      <w:pPr>
        <w:pStyle w:val="ListParagraph"/>
        <w:numPr>
          <w:ilvl w:val="0"/>
          <w:numId w:val="28"/>
        </w:numPr>
        <w:ind w:left="567" w:hanging="567"/>
        <w:rPr>
          <w:rFonts w:ascii="Arial" w:hAnsi="Arial" w:cs="Arial"/>
          <w:color w:val="165788"/>
        </w:rPr>
      </w:pPr>
      <w:r w:rsidRPr="00142C14">
        <w:rPr>
          <w:rFonts w:ascii="Arial" w:hAnsi="Arial" w:cs="Arial"/>
          <w:color w:val="165788"/>
        </w:rPr>
        <w:t>developing comprehensive, accessible and up to date asset and liability registers, and</w:t>
      </w:r>
    </w:p>
    <w:p w:rsidR="00050A94" w:rsidRPr="008822A5" w:rsidRDefault="00050A94" w:rsidP="00050A94">
      <w:pPr>
        <w:pStyle w:val="ListParagraph"/>
        <w:numPr>
          <w:ilvl w:val="0"/>
          <w:numId w:val="28"/>
        </w:numPr>
        <w:ind w:left="567" w:hanging="567"/>
        <w:rPr>
          <w:rFonts w:ascii="Arial" w:hAnsi="Arial" w:cs="Arial"/>
          <w:color w:val="009B3A"/>
        </w:rPr>
      </w:pPr>
      <w:r w:rsidRPr="00142C14">
        <w:rPr>
          <w:rFonts w:ascii="Arial" w:hAnsi="Arial" w:cs="Arial"/>
          <w:color w:val="165788"/>
        </w:rPr>
        <w:t>systematically stress testing Business Plans to destruction and developing mitigating plans in response.</w:t>
      </w:r>
    </w:p>
    <w:p w:rsidR="00050A94" w:rsidRPr="008822A5" w:rsidRDefault="00050A94" w:rsidP="00050A94">
      <w:pPr>
        <w:rPr>
          <w:rFonts w:ascii="Arial" w:hAnsi="Arial" w:cs="Arial"/>
          <w:color w:val="009B3A"/>
        </w:rPr>
      </w:pPr>
    </w:p>
    <w:p w:rsidR="00050A94" w:rsidRPr="00142C14" w:rsidRDefault="00050A94" w:rsidP="00050A94">
      <w:pPr>
        <w:rPr>
          <w:rFonts w:ascii="Arial" w:hAnsi="Arial" w:cs="Arial"/>
          <w:color w:val="165788"/>
        </w:rPr>
      </w:pPr>
      <w:r w:rsidRPr="00142C14">
        <w:rPr>
          <w:rFonts w:ascii="Arial" w:hAnsi="Arial" w:cs="Arial"/>
          <w:color w:val="165788"/>
        </w:rPr>
        <w:t xml:space="preserve">These requirements were designed to minimise the risk of future business failures and in the event of any such failure simplify any business rescue. The Rent Standard provided the sector with a degree of financial </w:t>
      </w:r>
      <w:r w:rsidR="001A7AF0" w:rsidRPr="00142C14">
        <w:rPr>
          <w:rFonts w:ascii="Arial" w:hAnsi="Arial" w:cs="Arial"/>
          <w:color w:val="165788"/>
        </w:rPr>
        <w:t xml:space="preserve">certainty in an otherwise turbulent operating environment. This certainty was </w:t>
      </w:r>
      <w:r w:rsidR="008822A5" w:rsidRPr="00142C14">
        <w:rPr>
          <w:rFonts w:ascii="Arial" w:hAnsi="Arial" w:cs="Arial"/>
          <w:color w:val="165788"/>
        </w:rPr>
        <w:t>removed by the Welfare Reform and Work Act 2016 requiring registered providers of social housing in England to reduce rents by 1% a year for 4 years</w:t>
      </w:r>
      <w:r w:rsidR="001A7AF0" w:rsidRPr="00142C14">
        <w:rPr>
          <w:rFonts w:ascii="Arial" w:hAnsi="Arial" w:cs="Arial"/>
          <w:color w:val="165788"/>
        </w:rPr>
        <w:t xml:space="preserve"> commencing 2016/17.</w:t>
      </w:r>
      <w:r w:rsidR="008822A5" w:rsidRPr="00142C14">
        <w:rPr>
          <w:rFonts w:ascii="Arial" w:hAnsi="Arial" w:cs="Arial"/>
          <w:color w:val="165788"/>
        </w:rPr>
        <w:t xml:space="preserve"> The impact on registered providers such as bdht is compounded by the on-going reductions in tenant income resulting from changes to benefit regulations and the on-going roll-out of Universal Credit.</w:t>
      </w:r>
    </w:p>
    <w:p w:rsidR="00D4704C" w:rsidRDefault="00D4704C" w:rsidP="00050A94">
      <w:pPr>
        <w:rPr>
          <w:rFonts w:ascii="Arial" w:hAnsi="Arial" w:cs="Arial"/>
          <w:color w:val="009B3A"/>
        </w:rPr>
      </w:pPr>
    </w:p>
    <w:p w:rsidR="001A7AF0" w:rsidRDefault="001A7AF0" w:rsidP="00AC6B7B">
      <w:pPr>
        <w:rPr>
          <w:rFonts w:ascii="Arial" w:hAnsi="Arial" w:cs="Arial"/>
          <w:color w:val="165788"/>
        </w:rPr>
      </w:pPr>
      <w:r w:rsidRPr="00F732EB">
        <w:rPr>
          <w:rFonts w:ascii="Arial" w:hAnsi="Arial" w:cs="Arial"/>
          <w:color w:val="165788"/>
        </w:rPr>
        <w:t xml:space="preserve">Bdht has responded robustly to the challenges set by both the Regulator and Government </w:t>
      </w:r>
      <w:r w:rsidR="005C4157" w:rsidRPr="00F732EB">
        <w:rPr>
          <w:rFonts w:ascii="Arial" w:hAnsi="Arial" w:cs="Arial"/>
          <w:color w:val="165788"/>
        </w:rPr>
        <w:t>by</w:t>
      </w:r>
      <w:r w:rsidRPr="00F732EB">
        <w:rPr>
          <w:rFonts w:ascii="Arial" w:hAnsi="Arial" w:cs="Arial"/>
          <w:color w:val="165788"/>
        </w:rPr>
        <w:t xml:space="preserve"> </w:t>
      </w:r>
      <w:r w:rsidR="005C4157" w:rsidRPr="00F732EB">
        <w:rPr>
          <w:rFonts w:ascii="Arial" w:hAnsi="Arial" w:cs="Arial"/>
          <w:color w:val="165788"/>
        </w:rPr>
        <w:t>holding to our</w:t>
      </w:r>
      <w:r w:rsidRPr="00F732EB">
        <w:rPr>
          <w:rFonts w:ascii="Arial" w:hAnsi="Arial" w:cs="Arial"/>
          <w:color w:val="165788"/>
        </w:rPr>
        <w:t xml:space="preserve"> core values and </w:t>
      </w:r>
      <w:r w:rsidR="005C4157" w:rsidRPr="00F732EB">
        <w:rPr>
          <w:rFonts w:ascii="Arial" w:hAnsi="Arial" w:cs="Arial"/>
          <w:color w:val="165788"/>
        </w:rPr>
        <w:t xml:space="preserve">focusing on </w:t>
      </w:r>
      <w:r w:rsidRPr="00F732EB">
        <w:rPr>
          <w:rFonts w:ascii="Arial" w:hAnsi="Arial" w:cs="Arial"/>
          <w:color w:val="165788"/>
        </w:rPr>
        <w:t>business priorities</w:t>
      </w:r>
      <w:r w:rsidR="008822A5" w:rsidRPr="00F732EB">
        <w:rPr>
          <w:rFonts w:ascii="Arial" w:hAnsi="Arial" w:cs="Arial"/>
          <w:color w:val="165788"/>
        </w:rPr>
        <w:t xml:space="preserve"> whilst reducing costs</w:t>
      </w:r>
      <w:r w:rsidRPr="00F732EB">
        <w:rPr>
          <w:rFonts w:ascii="Arial" w:hAnsi="Arial" w:cs="Arial"/>
          <w:color w:val="165788"/>
        </w:rPr>
        <w:t xml:space="preserve">. </w:t>
      </w:r>
      <w:r w:rsidR="00AC6B7B" w:rsidRPr="00F732EB">
        <w:rPr>
          <w:rFonts w:ascii="Arial" w:hAnsi="Arial" w:cs="Arial"/>
          <w:color w:val="165788"/>
        </w:rPr>
        <w:t>Within a viable Business Plan t</w:t>
      </w:r>
      <w:r w:rsidR="005C4157" w:rsidRPr="00F732EB">
        <w:rPr>
          <w:rFonts w:ascii="Arial" w:hAnsi="Arial" w:cs="Arial"/>
          <w:color w:val="165788"/>
        </w:rPr>
        <w:t xml:space="preserve">he Board has </w:t>
      </w:r>
      <w:r w:rsidR="00AC6B7B" w:rsidRPr="00F732EB">
        <w:rPr>
          <w:rFonts w:ascii="Arial" w:hAnsi="Arial" w:cs="Arial"/>
          <w:color w:val="165788"/>
        </w:rPr>
        <w:t xml:space="preserve">committed to maintain the bdht development pipeline to help meet local housing need and has </w:t>
      </w:r>
      <w:r w:rsidR="005C4157" w:rsidRPr="00F732EB">
        <w:rPr>
          <w:rFonts w:ascii="Arial" w:hAnsi="Arial" w:cs="Arial"/>
          <w:color w:val="165788"/>
        </w:rPr>
        <w:t>re-</w:t>
      </w:r>
      <w:r w:rsidR="00AC6B7B" w:rsidRPr="00F732EB">
        <w:rPr>
          <w:rFonts w:ascii="Arial" w:hAnsi="Arial" w:cs="Arial"/>
          <w:color w:val="165788"/>
        </w:rPr>
        <w:t xml:space="preserve">affirmed its ambition for the organisation </w:t>
      </w:r>
      <w:r w:rsidR="005C4157" w:rsidRPr="00F732EB">
        <w:rPr>
          <w:rFonts w:ascii="Arial" w:hAnsi="Arial" w:cs="Arial"/>
          <w:color w:val="165788"/>
        </w:rPr>
        <w:t>to achiev</w:t>
      </w:r>
      <w:r w:rsidR="00AC6B7B" w:rsidRPr="00F732EB">
        <w:rPr>
          <w:rFonts w:ascii="Arial" w:hAnsi="Arial" w:cs="Arial"/>
          <w:color w:val="165788"/>
        </w:rPr>
        <w:t>e</w:t>
      </w:r>
      <w:r w:rsidR="005C4157" w:rsidRPr="00F732EB">
        <w:rPr>
          <w:rFonts w:ascii="Arial" w:hAnsi="Arial" w:cs="Arial"/>
          <w:color w:val="165788"/>
        </w:rPr>
        <w:t xml:space="preserve"> 95% customer satisfaction</w:t>
      </w:r>
      <w:r w:rsidR="00AC6B7B" w:rsidRPr="00F732EB">
        <w:rPr>
          <w:rFonts w:ascii="Arial" w:hAnsi="Arial" w:cs="Arial"/>
          <w:color w:val="165788"/>
        </w:rPr>
        <w:t>.</w:t>
      </w:r>
      <w:r w:rsidR="005C4157" w:rsidRPr="00F732EB">
        <w:rPr>
          <w:rFonts w:ascii="Arial" w:hAnsi="Arial" w:cs="Arial"/>
          <w:color w:val="165788"/>
        </w:rPr>
        <w:t xml:space="preserve"> </w:t>
      </w:r>
      <w:r w:rsidR="00AC6B7B" w:rsidRPr="00F732EB">
        <w:rPr>
          <w:rFonts w:ascii="Arial" w:hAnsi="Arial" w:cs="Arial"/>
          <w:color w:val="165788"/>
        </w:rPr>
        <w:t>bdht is not</w:t>
      </w:r>
      <w:r w:rsidR="005C4157" w:rsidRPr="00F732EB">
        <w:rPr>
          <w:rFonts w:ascii="Arial" w:hAnsi="Arial" w:cs="Arial"/>
          <w:color w:val="165788"/>
        </w:rPr>
        <w:t xml:space="preserve"> retreating </w:t>
      </w:r>
      <w:r w:rsidR="00AC6B7B" w:rsidRPr="00F732EB">
        <w:rPr>
          <w:rFonts w:ascii="Arial" w:hAnsi="Arial" w:cs="Arial"/>
          <w:color w:val="165788"/>
        </w:rPr>
        <w:t xml:space="preserve">from its commitment to service excellence and maintains compliance with the revised regulatory standards. </w:t>
      </w:r>
    </w:p>
    <w:p w:rsidR="00F732EB" w:rsidRPr="00F732EB" w:rsidRDefault="00F732EB" w:rsidP="00AC6B7B">
      <w:pPr>
        <w:rPr>
          <w:rFonts w:ascii="Arial" w:hAnsi="Arial" w:cs="Arial"/>
          <w:color w:val="165788"/>
        </w:rPr>
      </w:pPr>
    </w:p>
    <w:p w:rsidR="00AC6B7B" w:rsidRPr="00F732EB" w:rsidRDefault="00AC6B7B" w:rsidP="00AC6B7B">
      <w:pPr>
        <w:rPr>
          <w:rFonts w:ascii="Arial" w:hAnsi="Arial" w:cs="Arial"/>
          <w:color w:val="165788"/>
        </w:rPr>
      </w:pPr>
      <w:r w:rsidRPr="00F732EB">
        <w:rPr>
          <w:rFonts w:ascii="Arial" w:hAnsi="Arial" w:cs="Arial"/>
          <w:color w:val="165788"/>
        </w:rPr>
        <w:t>Based upon the detailed assessment below the Compliance Committee confirms that bdht is compliant with</w:t>
      </w:r>
      <w:r w:rsidR="00166189" w:rsidRPr="00F732EB">
        <w:rPr>
          <w:rFonts w:ascii="Arial" w:hAnsi="Arial" w:cs="Arial"/>
          <w:color w:val="165788"/>
        </w:rPr>
        <w:t xml:space="preserve"> the</w:t>
      </w:r>
      <w:r w:rsidR="00933F49">
        <w:rPr>
          <w:rFonts w:ascii="Arial" w:hAnsi="Arial" w:cs="Arial"/>
          <w:color w:val="165788"/>
        </w:rPr>
        <w:t xml:space="preserve"> RSH economic standards.</w:t>
      </w:r>
    </w:p>
    <w:p w:rsidR="00AC6B7B" w:rsidRDefault="00AC6B7B" w:rsidP="00C2618A">
      <w:pPr>
        <w:rPr>
          <w:rFonts w:ascii="Arial" w:hAnsi="Arial" w:cs="Arial"/>
          <w:color w:val="42145F"/>
          <w:sz w:val="32"/>
          <w:szCs w:val="32"/>
        </w:rPr>
      </w:pPr>
    </w:p>
    <w:p w:rsidR="00C2618A" w:rsidRPr="008822A5" w:rsidRDefault="00C2618A" w:rsidP="00C2618A">
      <w:pPr>
        <w:rPr>
          <w:rFonts w:ascii="Arial" w:hAnsi="Arial" w:cs="Arial"/>
          <w:color w:val="009B3A"/>
          <w:sz w:val="32"/>
          <w:szCs w:val="32"/>
        </w:rPr>
      </w:pPr>
      <w:r w:rsidRPr="00F732EB">
        <w:rPr>
          <w:rFonts w:ascii="Arial" w:hAnsi="Arial" w:cs="Arial"/>
          <w:color w:val="165788"/>
          <w:sz w:val="32"/>
          <w:szCs w:val="32"/>
        </w:rPr>
        <w:t>Governance &amp; Financial Viability Standard &amp; Code of Practice</w:t>
      </w:r>
    </w:p>
    <w:p w:rsidR="00707854" w:rsidRDefault="00707854" w:rsidP="00C2618A">
      <w:pPr>
        <w:rPr>
          <w:rFonts w:ascii="Arial" w:hAnsi="Arial" w:cs="Arial"/>
          <w:color w:val="42145F"/>
        </w:rPr>
      </w:pPr>
    </w:p>
    <w:p w:rsidR="00707854" w:rsidRPr="00F732EB" w:rsidRDefault="00933F49" w:rsidP="00C2618A">
      <w:pPr>
        <w:rPr>
          <w:rFonts w:ascii="Arial" w:hAnsi="Arial" w:cs="Arial"/>
          <w:color w:val="165788"/>
        </w:rPr>
      </w:pPr>
      <w:r>
        <w:rPr>
          <w:rFonts w:ascii="Arial" w:hAnsi="Arial" w:cs="Arial"/>
          <w:color w:val="165788"/>
        </w:rPr>
        <w:t>In</w:t>
      </w:r>
      <w:r w:rsidR="00707854" w:rsidRPr="00F732EB">
        <w:rPr>
          <w:rFonts w:ascii="Arial" w:hAnsi="Arial" w:cs="Arial"/>
          <w:color w:val="165788"/>
        </w:rPr>
        <w:t xml:space="preserve"> response to the operating environment and revisions to the Governance and Financial Viability Standard</w:t>
      </w:r>
      <w:r>
        <w:rPr>
          <w:rFonts w:ascii="Arial" w:hAnsi="Arial" w:cs="Arial"/>
          <w:color w:val="165788"/>
        </w:rPr>
        <w:t>, during 2015/16,</w:t>
      </w:r>
      <w:r w:rsidR="00707854" w:rsidRPr="00F732EB">
        <w:rPr>
          <w:rFonts w:ascii="Arial" w:hAnsi="Arial" w:cs="Arial"/>
          <w:color w:val="165788"/>
        </w:rPr>
        <w:t xml:space="preserve"> </w:t>
      </w:r>
      <w:r w:rsidR="00CC1FA0" w:rsidRPr="00F732EB">
        <w:rPr>
          <w:rFonts w:ascii="Arial" w:hAnsi="Arial" w:cs="Arial"/>
          <w:color w:val="165788"/>
        </w:rPr>
        <w:t>the Board led in the</w:t>
      </w:r>
      <w:r w:rsidR="00502BEC" w:rsidRPr="00F732EB">
        <w:rPr>
          <w:rFonts w:ascii="Arial" w:hAnsi="Arial" w:cs="Arial"/>
          <w:color w:val="165788"/>
        </w:rPr>
        <w:t>:</w:t>
      </w:r>
    </w:p>
    <w:p w:rsidR="00707854" w:rsidRPr="00F732EB" w:rsidRDefault="00502BEC" w:rsidP="00707854">
      <w:pPr>
        <w:pStyle w:val="ListParagraph"/>
        <w:numPr>
          <w:ilvl w:val="0"/>
          <w:numId w:val="35"/>
        </w:numPr>
        <w:rPr>
          <w:rFonts w:ascii="Arial" w:hAnsi="Arial" w:cs="Arial"/>
          <w:color w:val="165788"/>
        </w:rPr>
      </w:pPr>
      <w:r w:rsidRPr="00F732EB">
        <w:rPr>
          <w:rFonts w:ascii="Arial" w:hAnsi="Arial" w:cs="Arial"/>
          <w:color w:val="165788"/>
        </w:rPr>
        <w:t>compil</w:t>
      </w:r>
      <w:r w:rsidR="00CC1FA0" w:rsidRPr="00F732EB">
        <w:rPr>
          <w:rFonts w:ascii="Arial" w:hAnsi="Arial" w:cs="Arial"/>
          <w:color w:val="165788"/>
        </w:rPr>
        <w:t>ation of</w:t>
      </w:r>
      <w:r w:rsidRPr="00F732EB">
        <w:rPr>
          <w:rFonts w:ascii="Arial" w:hAnsi="Arial" w:cs="Arial"/>
          <w:color w:val="165788"/>
        </w:rPr>
        <w:t xml:space="preserve"> </w:t>
      </w:r>
      <w:r w:rsidR="00825477" w:rsidRPr="00F732EB">
        <w:rPr>
          <w:rFonts w:ascii="Arial" w:hAnsi="Arial" w:cs="Arial"/>
          <w:color w:val="165788"/>
        </w:rPr>
        <w:t>five registers setting out, clearly and comprehensively, bdht assets and liabilities</w:t>
      </w:r>
      <w:r w:rsidR="00707854" w:rsidRPr="00F732EB">
        <w:rPr>
          <w:rFonts w:ascii="Arial" w:hAnsi="Arial" w:cs="Arial"/>
          <w:color w:val="165788"/>
        </w:rPr>
        <w:t>, and</w:t>
      </w:r>
    </w:p>
    <w:p w:rsidR="00707854" w:rsidRPr="00F732EB" w:rsidRDefault="00502BEC" w:rsidP="00707854">
      <w:pPr>
        <w:pStyle w:val="ListParagraph"/>
        <w:numPr>
          <w:ilvl w:val="0"/>
          <w:numId w:val="35"/>
        </w:numPr>
        <w:rPr>
          <w:rFonts w:ascii="Arial" w:hAnsi="Arial" w:cs="Arial"/>
          <w:color w:val="165788"/>
        </w:rPr>
      </w:pPr>
      <w:r w:rsidRPr="00F732EB">
        <w:rPr>
          <w:rFonts w:ascii="Arial" w:hAnsi="Arial" w:cs="Arial"/>
          <w:color w:val="165788"/>
        </w:rPr>
        <w:t>develop</w:t>
      </w:r>
      <w:r w:rsidR="00CC1FA0" w:rsidRPr="00F732EB">
        <w:rPr>
          <w:rFonts w:ascii="Arial" w:hAnsi="Arial" w:cs="Arial"/>
          <w:color w:val="165788"/>
        </w:rPr>
        <w:t>ment of</w:t>
      </w:r>
      <w:r w:rsidRPr="00F732EB">
        <w:rPr>
          <w:rFonts w:ascii="Arial" w:hAnsi="Arial" w:cs="Arial"/>
          <w:color w:val="165788"/>
        </w:rPr>
        <w:t xml:space="preserve"> </w:t>
      </w:r>
      <w:r w:rsidR="00707854" w:rsidRPr="00F732EB">
        <w:rPr>
          <w:rFonts w:ascii="Arial" w:hAnsi="Arial" w:cs="Arial"/>
          <w:color w:val="165788"/>
        </w:rPr>
        <w:t xml:space="preserve">a robust framework for stress testing the Business Plan. </w:t>
      </w:r>
    </w:p>
    <w:p w:rsidR="00707854" w:rsidRPr="00F732EB" w:rsidRDefault="00707854" w:rsidP="00707854">
      <w:pPr>
        <w:rPr>
          <w:rFonts w:ascii="Arial" w:hAnsi="Arial" w:cs="Arial"/>
          <w:color w:val="165788"/>
        </w:rPr>
      </w:pPr>
    </w:p>
    <w:p w:rsidR="00707854" w:rsidRPr="00202DF4" w:rsidRDefault="00CC1FA0" w:rsidP="00707854">
      <w:pPr>
        <w:rPr>
          <w:rFonts w:ascii="Arial" w:hAnsi="Arial" w:cs="Arial"/>
          <w:color w:val="165788"/>
        </w:rPr>
      </w:pPr>
      <w:r w:rsidRPr="00F732EB">
        <w:rPr>
          <w:rFonts w:ascii="Arial" w:hAnsi="Arial" w:cs="Arial"/>
          <w:color w:val="165788"/>
        </w:rPr>
        <w:t>Over the last 12 months bdht</w:t>
      </w:r>
      <w:r w:rsidR="00707854" w:rsidRPr="00F732EB">
        <w:rPr>
          <w:rFonts w:ascii="Arial" w:hAnsi="Arial" w:cs="Arial"/>
          <w:color w:val="165788"/>
        </w:rPr>
        <w:t xml:space="preserve"> </w:t>
      </w:r>
      <w:r w:rsidRPr="00F732EB">
        <w:rPr>
          <w:rFonts w:ascii="Arial" w:hAnsi="Arial" w:cs="Arial"/>
          <w:color w:val="165788"/>
        </w:rPr>
        <w:t xml:space="preserve">has </w:t>
      </w:r>
      <w:r w:rsidR="00707854" w:rsidRPr="00F732EB">
        <w:rPr>
          <w:rFonts w:ascii="Arial" w:hAnsi="Arial" w:cs="Arial"/>
          <w:color w:val="165788"/>
        </w:rPr>
        <w:t>built on these foundations, updating Registers and stress testing the 2017 Business Plan</w:t>
      </w:r>
      <w:r w:rsidR="00825477" w:rsidRPr="00F732EB">
        <w:rPr>
          <w:rFonts w:ascii="Arial" w:hAnsi="Arial" w:cs="Arial"/>
          <w:color w:val="165788"/>
        </w:rPr>
        <w:t xml:space="preserve"> in accordance with the “perfect storm scenario approved by Board” </w:t>
      </w:r>
      <w:r w:rsidR="00825477" w:rsidRPr="00202DF4">
        <w:rPr>
          <w:rFonts w:ascii="Arial" w:hAnsi="Arial" w:cs="Arial"/>
          <w:color w:val="165788"/>
        </w:rPr>
        <w:t xml:space="preserve">(as set out in </w:t>
      </w:r>
      <w:r w:rsidR="00202DF4" w:rsidRPr="00202DF4">
        <w:rPr>
          <w:rFonts w:ascii="Arial" w:hAnsi="Arial" w:cs="Arial"/>
          <w:color w:val="165788"/>
        </w:rPr>
        <w:t>Section 10</w:t>
      </w:r>
      <w:r w:rsidR="00825477" w:rsidRPr="00202DF4">
        <w:rPr>
          <w:rFonts w:ascii="Arial" w:hAnsi="Arial" w:cs="Arial"/>
          <w:color w:val="165788"/>
        </w:rPr>
        <w:t xml:space="preserve"> of the Business Plan) together with a Mitigation Action Plan (Appendix D to the Business Plan)</w:t>
      </w:r>
      <w:r w:rsidR="00707854" w:rsidRPr="00202DF4">
        <w:rPr>
          <w:rFonts w:ascii="Arial" w:hAnsi="Arial" w:cs="Arial"/>
          <w:color w:val="165788"/>
        </w:rPr>
        <w:t>.</w:t>
      </w:r>
    </w:p>
    <w:p w:rsidR="00707854" w:rsidRDefault="00707854" w:rsidP="00707854">
      <w:pPr>
        <w:rPr>
          <w:rFonts w:ascii="Arial" w:hAnsi="Arial" w:cs="Arial"/>
          <w:color w:val="42145F"/>
        </w:rPr>
      </w:pPr>
    </w:p>
    <w:p w:rsidR="00C61106" w:rsidRDefault="00825477" w:rsidP="0054221D">
      <w:pPr>
        <w:rPr>
          <w:rFonts w:ascii="Arial" w:hAnsi="Arial" w:cs="Arial"/>
          <w:color w:val="165788"/>
        </w:rPr>
      </w:pPr>
      <w:r w:rsidRPr="00202DF4">
        <w:rPr>
          <w:rFonts w:ascii="Arial" w:hAnsi="Arial" w:cs="Arial"/>
          <w:color w:val="165788"/>
        </w:rPr>
        <w:t>The bdht Board has a long established risk management and internal control framework in place</w:t>
      </w:r>
      <w:r w:rsidR="00C61106" w:rsidRPr="00202DF4">
        <w:rPr>
          <w:rFonts w:ascii="Arial" w:hAnsi="Arial" w:cs="Arial"/>
          <w:color w:val="165788"/>
        </w:rPr>
        <w:t xml:space="preserve">. </w:t>
      </w:r>
      <w:r w:rsidR="00202DF4" w:rsidRPr="00202DF4">
        <w:rPr>
          <w:rFonts w:ascii="Arial" w:hAnsi="Arial" w:cs="Arial"/>
          <w:color w:val="165788"/>
        </w:rPr>
        <w:t xml:space="preserve">The Board has set, and reviews as part of the </w:t>
      </w:r>
      <w:r w:rsidR="00933F49">
        <w:rPr>
          <w:rFonts w:ascii="Arial" w:hAnsi="Arial" w:cs="Arial"/>
          <w:color w:val="165788"/>
        </w:rPr>
        <w:t xml:space="preserve">annual </w:t>
      </w:r>
      <w:r w:rsidR="00202DF4" w:rsidRPr="00202DF4">
        <w:rPr>
          <w:rFonts w:ascii="Arial" w:hAnsi="Arial" w:cs="Arial"/>
          <w:color w:val="165788"/>
        </w:rPr>
        <w:t>business planning process,</w:t>
      </w:r>
      <w:r w:rsidR="00C61106" w:rsidRPr="00202DF4">
        <w:rPr>
          <w:rFonts w:ascii="Arial" w:hAnsi="Arial" w:cs="Arial"/>
          <w:color w:val="165788"/>
        </w:rPr>
        <w:t xml:space="preserve"> the bdht risk appetite with a clear understanding of risk tolerances acceptable to bdht. The risk appetite is incorporated into the risk aligned Strategic Balanced Scorecard reported monthly to members of the Board.</w:t>
      </w:r>
    </w:p>
    <w:p w:rsidR="00EC58F7" w:rsidRDefault="00EC58F7" w:rsidP="0054221D">
      <w:pPr>
        <w:rPr>
          <w:rFonts w:ascii="Arial" w:hAnsi="Arial" w:cs="Arial"/>
          <w:color w:val="165788"/>
        </w:rPr>
      </w:pPr>
    </w:p>
    <w:p w:rsidR="00EC58F7" w:rsidRDefault="00EC58F7" w:rsidP="0054221D">
      <w:pPr>
        <w:rPr>
          <w:rFonts w:ascii="Arial" w:hAnsi="Arial" w:cs="Arial"/>
          <w:color w:val="165788"/>
        </w:rPr>
      </w:pPr>
      <w:r>
        <w:rPr>
          <w:rFonts w:ascii="Arial" w:hAnsi="Arial" w:cs="Arial"/>
          <w:color w:val="165788"/>
        </w:rPr>
        <w:t>Registered Providers must be transparent and open with the Regulator in</w:t>
      </w:r>
      <w:r w:rsidR="005C31EE">
        <w:rPr>
          <w:rFonts w:ascii="Arial" w:hAnsi="Arial" w:cs="Arial"/>
          <w:color w:val="165788"/>
        </w:rPr>
        <w:t>cluding</w:t>
      </w:r>
      <w:r>
        <w:rPr>
          <w:rFonts w:ascii="Arial" w:hAnsi="Arial" w:cs="Arial"/>
          <w:color w:val="165788"/>
        </w:rPr>
        <w:t xml:space="preserve"> reporting breach</w:t>
      </w:r>
      <w:r w:rsidR="005C31EE">
        <w:rPr>
          <w:rFonts w:ascii="Arial" w:hAnsi="Arial" w:cs="Arial"/>
          <w:color w:val="165788"/>
        </w:rPr>
        <w:t>es</w:t>
      </w:r>
      <w:r>
        <w:rPr>
          <w:rFonts w:ascii="Arial" w:hAnsi="Arial" w:cs="Arial"/>
          <w:color w:val="165788"/>
        </w:rPr>
        <w:t xml:space="preserve"> of RSH standard</w:t>
      </w:r>
      <w:r w:rsidR="005C31EE">
        <w:rPr>
          <w:rFonts w:ascii="Arial" w:hAnsi="Arial" w:cs="Arial"/>
          <w:color w:val="165788"/>
        </w:rPr>
        <w:t>s</w:t>
      </w:r>
      <w:r>
        <w:rPr>
          <w:rFonts w:ascii="Arial" w:hAnsi="Arial" w:cs="Arial"/>
          <w:color w:val="165788"/>
        </w:rPr>
        <w:t>. Failure to do so can be viewed by the Regulator as a failure of governance.</w:t>
      </w:r>
    </w:p>
    <w:p w:rsidR="00EC58F7" w:rsidRDefault="00EC58F7" w:rsidP="0054221D">
      <w:pPr>
        <w:rPr>
          <w:rFonts w:ascii="Arial" w:hAnsi="Arial" w:cs="Arial"/>
          <w:color w:val="165788"/>
        </w:rPr>
      </w:pPr>
    </w:p>
    <w:p w:rsidR="00EC58F7" w:rsidRPr="005C31EE" w:rsidRDefault="00EC58F7" w:rsidP="00EC58F7">
      <w:pPr>
        <w:rPr>
          <w:rFonts w:ascii="Arial" w:hAnsi="Arial" w:cs="Arial"/>
          <w:color w:val="165788"/>
        </w:rPr>
      </w:pPr>
      <w:r w:rsidRPr="005C31EE">
        <w:rPr>
          <w:rFonts w:ascii="Arial" w:hAnsi="Arial" w:cs="Arial"/>
          <w:color w:val="165788"/>
        </w:rPr>
        <w:t xml:space="preserve">As part of year-end validation checks an issue was identified in late March in respect of the gas servicing position for 27 properties which had exceeded the gas servicing anniversary due date. </w:t>
      </w:r>
    </w:p>
    <w:p w:rsidR="00EC58F7" w:rsidRPr="00702234" w:rsidRDefault="00EC58F7" w:rsidP="00EC58F7">
      <w:pPr>
        <w:rPr>
          <w:rFonts w:ascii="Arial" w:hAnsi="Arial" w:cs="Arial"/>
        </w:rPr>
      </w:pPr>
    </w:p>
    <w:p w:rsidR="00EC58F7" w:rsidRPr="005C31EE" w:rsidRDefault="00EC58F7" w:rsidP="00EC58F7">
      <w:pPr>
        <w:rPr>
          <w:rFonts w:ascii="Arial" w:hAnsi="Arial" w:cs="Arial"/>
          <w:color w:val="165788"/>
        </w:rPr>
      </w:pPr>
      <w:r w:rsidRPr="005C31EE">
        <w:rPr>
          <w:rFonts w:ascii="Arial" w:hAnsi="Arial" w:cs="Arial"/>
          <w:color w:val="165788"/>
        </w:rPr>
        <w:t>The matter was reported for full discussion at the Compliance Committee on 18</w:t>
      </w:r>
      <w:r w:rsidRPr="005C31EE">
        <w:rPr>
          <w:rFonts w:ascii="Arial" w:hAnsi="Arial" w:cs="Arial"/>
          <w:color w:val="165788"/>
          <w:vertAlign w:val="superscript"/>
        </w:rPr>
        <w:t>th</w:t>
      </w:r>
      <w:r w:rsidRPr="005C31EE">
        <w:rPr>
          <w:rFonts w:ascii="Arial" w:hAnsi="Arial" w:cs="Arial"/>
          <w:color w:val="165788"/>
        </w:rPr>
        <w:t xml:space="preserve"> April 2018 with the internal auditor present. The Regulator was informed together with details of the agreed action plan to mitigate against any potential repetition.</w:t>
      </w:r>
    </w:p>
    <w:p w:rsidR="00EC58F7" w:rsidRPr="005C31EE" w:rsidRDefault="00EC58F7" w:rsidP="00EC58F7">
      <w:pPr>
        <w:contextualSpacing/>
        <w:rPr>
          <w:rFonts w:ascii="Arial" w:hAnsi="Arial" w:cs="Arial"/>
          <w:color w:val="165788"/>
        </w:rPr>
      </w:pPr>
    </w:p>
    <w:p w:rsidR="00EC58F7" w:rsidRPr="005C31EE" w:rsidRDefault="00EC58F7" w:rsidP="00EC58F7">
      <w:pPr>
        <w:contextualSpacing/>
        <w:rPr>
          <w:rFonts w:ascii="Arial" w:hAnsi="Arial" w:cs="Arial"/>
          <w:color w:val="165788"/>
        </w:rPr>
      </w:pPr>
      <w:r w:rsidRPr="005C31EE">
        <w:rPr>
          <w:rFonts w:ascii="Arial" w:hAnsi="Arial" w:cs="Arial"/>
          <w:color w:val="165788"/>
        </w:rPr>
        <w:t xml:space="preserve">The Regulator concluded that </w:t>
      </w:r>
    </w:p>
    <w:p w:rsidR="00EC58F7" w:rsidRPr="005C31EE" w:rsidRDefault="00EC58F7" w:rsidP="00EC58F7">
      <w:pPr>
        <w:contextualSpacing/>
        <w:rPr>
          <w:rFonts w:ascii="Arial" w:hAnsi="Arial" w:cs="Arial"/>
          <w:i/>
          <w:color w:val="165788"/>
        </w:rPr>
      </w:pPr>
      <w:r w:rsidRPr="005C31EE">
        <w:rPr>
          <w:rFonts w:ascii="Arial" w:hAnsi="Arial" w:cs="Arial"/>
          <w:i/>
          <w:color w:val="165788"/>
        </w:rPr>
        <w:t>“….under the Home standard which says that registered providers shall meet all applicable statutory requirements that provide for the health and safety of occupants in their homes. We noted that the number of properties overdue was relatively small, and the durations overdue were relatively short. Taking into account BDHT’s prompt response and the measures set out to prevent a recurrence, we have concluded that it is not proportionate to find a breach of the Home standard and we will not be taking further action”.</w:t>
      </w:r>
    </w:p>
    <w:p w:rsidR="005C31EE" w:rsidRDefault="005C31EE" w:rsidP="00EC58F7">
      <w:pPr>
        <w:contextualSpacing/>
        <w:rPr>
          <w:rFonts w:ascii="Arial" w:hAnsi="Arial" w:cs="Arial"/>
        </w:rPr>
      </w:pPr>
    </w:p>
    <w:p w:rsidR="00163083" w:rsidRDefault="00163083" w:rsidP="00EC58F7">
      <w:pPr>
        <w:contextualSpacing/>
        <w:rPr>
          <w:rFonts w:ascii="Arial" w:hAnsi="Arial" w:cs="Arial"/>
          <w:color w:val="165788"/>
        </w:rPr>
      </w:pPr>
      <w:r>
        <w:rPr>
          <w:rFonts w:ascii="Arial" w:hAnsi="Arial" w:cs="Arial"/>
          <w:color w:val="165788"/>
        </w:rPr>
        <w:t>In determining compliance with the Governance &amp; Financial Viability Standard the Board must also consider bdht compliance with all RSH standards.</w:t>
      </w:r>
    </w:p>
    <w:p w:rsidR="00163083" w:rsidRDefault="00163083" w:rsidP="00EC58F7">
      <w:pPr>
        <w:contextualSpacing/>
        <w:rPr>
          <w:rFonts w:ascii="Arial" w:hAnsi="Arial" w:cs="Arial"/>
        </w:rPr>
      </w:pPr>
    </w:p>
    <w:p w:rsidR="00C2618A" w:rsidRPr="00F732EB" w:rsidRDefault="00C2618A" w:rsidP="00C2618A">
      <w:pPr>
        <w:rPr>
          <w:rFonts w:ascii="Arial" w:hAnsi="Arial" w:cs="Arial"/>
          <w:color w:val="165788"/>
          <w:sz w:val="32"/>
          <w:szCs w:val="32"/>
        </w:rPr>
      </w:pPr>
      <w:r w:rsidRPr="00F732EB">
        <w:rPr>
          <w:rFonts w:ascii="Arial" w:hAnsi="Arial" w:cs="Arial"/>
          <w:color w:val="165788"/>
          <w:sz w:val="32"/>
          <w:szCs w:val="32"/>
        </w:rPr>
        <w:t xml:space="preserve">Value for Money Standard </w:t>
      </w:r>
      <w:r w:rsidR="00F732EB" w:rsidRPr="00F732EB">
        <w:rPr>
          <w:rFonts w:ascii="Arial" w:hAnsi="Arial" w:cs="Arial"/>
          <w:color w:val="165788"/>
          <w:sz w:val="32"/>
          <w:szCs w:val="32"/>
        </w:rPr>
        <w:t>April 2012</w:t>
      </w:r>
    </w:p>
    <w:p w:rsidR="00C2618A" w:rsidRPr="00C61106" w:rsidRDefault="00C2618A" w:rsidP="00C2618A">
      <w:pPr>
        <w:pStyle w:val="ListParagraph"/>
        <w:ind w:left="0"/>
        <w:rPr>
          <w:rFonts w:ascii="Arial" w:hAnsi="Arial" w:cs="Arial"/>
          <w:color w:val="009B3A"/>
          <w:sz w:val="32"/>
          <w:szCs w:val="32"/>
        </w:rPr>
      </w:pPr>
    </w:p>
    <w:p w:rsidR="0054221D" w:rsidRPr="00202DF4" w:rsidRDefault="00202DF4" w:rsidP="00C2618A">
      <w:pPr>
        <w:pStyle w:val="ListParagraph"/>
        <w:ind w:left="0"/>
        <w:rPr>
          <w:rFonts w:ascii="Arial" w:hAnsi="Arial" w:cs="Arial"/>
          <w:color w:val="165788"/>
        </w:rPr>
      </w:pPr>
      <w:r w:rsidRPr="00202DF4">
        <w:rPr>
          <w:rFonts w:ascii="Arial" w:hAnsi="Arial" w:cs="Arial"/>
          <w:color w:val="165788"/>
        </w:rPr>
        <w:t xml:space="preserve">This assessment covers compliance with regulatory standards during 2017/18. </w:t>
      </w:r>
      <w:r w:rsidR="00B41BB1">
        <w:rPr>
          <w:rFonts w:ascii="Arial" w:hAnsi="Arial" w:cs="Arial"/>
          <w:color w:val="165788"/>
        </w:rPr>
        <w:t>The VfM</w:t>
      </w:r>
      <w:r w:rsidRPr="00202DF4">
        <w:rPr>
          <w:rFonts w:ascii="Arial" w:hAnsi="Arial" w:cs="Arial"/>
          <w:color w:val="165788"/>
        </w:rPr>
        <w:t xml:space="preserve"> Standard </w:t>
      </w:r>
      <w:r w:rsidR="00B41BB1">
        <w:rPr>
          <w:rFonts w:ascii="Arial" w:hAnsi="Arial" w:cs="Arial"/>
          <w:color w:val="165788"/>
        </w:rPr>
        <w:t xml:space="preserve">2012 was the relevant edition of the Standard for </w:t>
      </w:r>
      <w:r w:rsidRPr="00202DF4">
        <w:rPr>
          <w:rFonts w:ascii="Arial" w:hAnsi="Arial" w:cs="Arial"/>
          <w:color w:val="165788"/>
        </w:rPr>
        <w:t xml:space="preserve">2017/18. </w:t>
      </w:r>
      <w:r w:rsidR="0054221D" w:rsidRPr="00202DF4">
        <w:rPr>
          <w:rFonts w:ascii="Arial" w:hAnsi="Arial" w:cs="Arial"/>
          <w:color w:val="165788"/>
        </w:rPr>
        <w:t xml:space="preserve">Each year, for the last </w:t>
      </w:r>
      <w:r w:rsidR="00C61106" w:rsidRPr="00202DF4">
        <w:rPr>
          <w:rFonts w:ascii="Arial" w:hAnsi="Arial" w:cs="Arial"/>
          <w:color w:val="165788"/>
        </w:rPr>
        <w:t>f</w:t>
      </w:r>
      <w:r w:rsidRPr="00202DF4">
        <w:rPr>
          <w:rFonts w:ascii="Arial" w:hAnsi="Arial" w:cs="Arial"/>
          <w:color w:val="165788"/>
        </w:rPr>
        <w:t>ive</w:t>
      </w:r>
      <w:r w:rsidR="0054221D" w:rsidRPr="00202DF4">
        <w:rPr>
          <w:rFonts w:ascii="Arial" w:hAnsi="Arial" w:cs="Arial"/>
          <w:color w:val="165788"/>
        </w:rPr>
        <w:t xml:space="preserve"> years, bdht has published an annual value for money statement in summary with</w:t>
      </w:r>
      <w:r w:rsidR="00CC1FA0" w:rsidRPr="00202DF4">
        <w:rPr>
          <w:rFonts w:ascii="Arial" w:hAnsi="Arial" w:cs="Arial"/>
          <w:color w:val="165788"/>
        </w:rPr>
        <w:t>in</w:t>
      </w:r>
      <w:r w:rsidR="0054221D" w:rsidRPr="00202DF4">
        <w:rPr>
          <w:rFonts w:ascii="Arial" w:hAnsi="Arial" w:cs="Arial"/>
          <w:color w:val="165788"/>
        </w:rPr>
        <w:t xml:space="preserve"> the annual accounts and in full on the bdht website. The strength of this approach is confirmed with no adverse feedback from the </w:t>
      </w:r>
      <w:r w:rsidRPr="00202DF4">
        <w:rPr>
          <w:rFonts w:ascii="Arial" w:hAnsi="Arial" w:cs="Arial"/>
          <w:color w:val="165788"/>
        </w:rPr>
        <w:t>Regulator</w:t>
      </w:r>
      <w:r w:rsidR="0054221D" w:rsidRPr="00202DF4">
        <w:rPr>
          <w:rFonts w:ascii="Arial" w:hAnsi="Arial" w:cs="Arial"/>
          <w:color w:val="165788"/>
        </w:rPr>
        <w:t xml:space="preserve">. </w:t>
      </w:r>
    </w:p>
    <w:p w:rsidR="00C61106" w:rsidRDefault="00C61106" w:rsidP="00C2618A">
      <w:pPr>
        <w:pStyle w:val="ListParagraph"/>
        <w:ind w:left="0"/>
        <w:rPr>
          <w:rFonts w:ascii="Arial" w:hAnsi="Arial" w:cs="Arial"/>
          <w:color w:val="009B3A"/>
        </w:rPr>
      </w:pPr>
    </w:p>
    <w:p w:rsidR="004B5A4E" w:rsidRPr="00973A5A" w:rsidRDefault="00C61106" w:rsidP="00C2618A">
      <w:pPr>
        <w:pStyle w:val="ListParagraph"/>
        <w:ind w:left="0"/>
        <w:rPr>
          <w:rFonts w:ascii="Arial" w:hAnsi="Arial" w:cs="Arial"/>
          <w:color w:val="165788"/>
        </w:rPr>
      </w:pPr>
      <w:r w:rsidRPr="00973A5A">
        <w:rPr>
          <w:rFonts w:ascii="Arial" w:hAnsi="Arial" w:cs="Arial"/>
          <w:color w:val="165788"/>
        </w:rPr>
        <w:t xml:space="preserve">During 2016/17 the HCA published the “Headline Unit Costs” of registered providers as a measure of efficiency and variation within the sector. Bdht unit costs </w:t>
      </w:r>
      <w:r w:rsidR="001F0C57" w:rsidRPr="00973A5A">
        <w:rPr>
          <w:rFonts w:ascii="Arial" w:hAnsi="Arial" w:cs="Arial"/>
          <w:color w:val="165788"/>
        </w:rPr>
        <w:t>remain</w:t>
      </w:r>
      <w:r w:rsidRPr="00973A5A">
        <w:rPr>
          <w:rFonts w:ascii="Arial" w:hAnsi="Arial" w:cs="Arial"/>
          <w:color w:val="165788"/>
        </w:rPr>
        <w:t xml:space="preserve"> lower than </w:t>
      </w:r>
      <w:r w:rsidR="001F0C57" w:rsidRPr="00973A5A">
        <w:rPr>
          <w:rFonts w:ascii="Arial" w:hAnsi="Arial" w:cs="Arial"/>
          <w:color w:val="165788"/>
        </w:rPr>
        <w:t xml:space="preserve">the last available benchmark </w:t>
      </w:r>
      <w:r w:rsidRPr="00973A5A">
        <w:rPr>
          <w:rFonts w:ascii="Arial" w:hAnsi="Arial" w:cs="Arial"/>
          <w:color w:val="165788"/>
        </w:rPr>
        <w:t xml:space="preserve">average </w:t>
      </w:r>
      <w:r w:rsidR="001F0C57" w:rsidRPr="00973A5A">
        <w:rPr>
          <w:rFonts w:ascii="Arial" w:hAnsi="Arial" w:cs="Arial"/>
          <w:color w:val="165788"/>
        </w:rPr>
        <w:t>(</w:t>
      </w:r>
      <w:r w:rsidRPr="00973A5A">
        <w:rPr>
          <w:rFonts w:ascii="Arial" w:hAnsi="Arial" w:cs="Arial"/>
          <w:color w:val="165788"/>
        </w:rPr>
        <w:t>2016/17</w:t>
      </w:r>
      <w:r w:rsidR="001F0C57" w:rsidRPr="00973A5A">
        <w:rPr>
          <w:rFonts w:ascii="Arial" w:hAnsi="Arial" w:cs="Arial"/>
          <w:color w:val="165788"/>
        </w:rPr>
        <w:t>)</w:t>
      </w:r>
      <w:r w:rsidRPr="00973A5A">
        <w:rPr>
          <w:rFonts w:ascii="Arial" w:hAnsi="Arial" w:cs="Arial"/>
          <w:color w:val="165788"/>
        </w:rPr>
        <w:t xml:space="preserve">. </w:t>
      </w:r>
    </w:p>
    <w:p w:rsidR="00203685" w:rsidRDefault="00203685" w:rsidP="00C2618A">
      <w:pPr>
        <w:pStyle w:val="ListParagraph"/>
        <w:ind w:left="0"/>
        <w:rPr>
          <w:rFonts w:ascii="Arial" w:hAnsi="Arial" w:cs="Arial"/>
          <w:color w:val="009B3A"/>
        </w:rPr>
      </w:pPr>
    </w:p>
    <w:p w:rsidR="00203685" w:rsidRPr="00973A5A" w:rsidRDefault="00973A5A" w:rsidP="00C2618A">
      <w:pPr>
        <w:pStyle w:val="ListParagraph"/>
        <w:ind w:left="0"/>
        <w:rPr>
          <w:rFonts w:ascii="Arial" w:hAnsi="Arial" w:cs="Arial"/>
          <w:color w:val="165788"/>
        </w:rPr>
      </w:pPr>
      <w:r w:rsidRPr="00973A5A">
        <w:rPr>
          <w:rFonts w:ascii="Arial" w:hAnsi="Arial" w:cs="Arial"/>
          <w:color w:val="165788"/>
        </w:rPr>
        <w:t xml:space="preserve">During 2017 bdht participated in the Housemark facilitated “Sector Scorecard” of efficiency measures. Benchmark results </w:t>
      </w:r>
      <w:r w:rsidR="00527124" w:rsidRPr="00973A5A">
        <w:rPr>
          <w:rFonts w:ascii="Arial" w:hAnsi="Arial" w:cs="Arial"/>
          <w:color w:val="165788"/>
        </w:rPr>
        <w:t>(relating to performance during 2016/17)</w:t>
      </w:r>
      <w:r w:rsidR="00527124">
        <w:rPr>
          <w:rFonts w:ascii="Arial" w:hAnsi="Arial" w:cs="Arial"/>
          <w:color w:val="165788"/>
        </w:rPr>
        <w:t xml:space="preserve"> </w:t>
      </w:r>
      <w:r w:rsidRPr="00973A5A">
        <w:rPr>
          <w:rFonts w:ascii="Arial" w:hAnsi="Arial" w:cs="Arial"/>
          <w:color w:val="165788"/>
        </w:rPr>
        <w:t>show very favourable performance by bdht compared to peers with bdht performance better than the Group average for 8 indicators, marginally worse for 2 measures and neutral against another 2.</w:t>
      </w:r>
    </w:p>
    <w:p w:rsidR="00973A5A" w:rsidRDefault="00973A5A" w:rsidP="00C2618A">
      <w:pPr>
        <w:pStyle w:val="ListParagraph"/>
        <w:ind w:left="0"/>
        <w:rPr>
          <w:rFonts w:ascii="Arial" w:hAnsi="Arial" w:cs="Arial"/>
          <w:color w:val="009B3A"/>
        </w:rPr>
      </w:pPr>
    </w:p>
    <w:p w:rsidR="00163083" w:rsidRDefault="00163083" w:rsidP="00C2618A">
      <w:pPr>
        <w:pStyle w:val="ListParagraph"/>
        <w:ind w:left="0"/>
        <w:rPr>
          <w:rFonts w:ascii="Arial" w:hAnsi="Arial" w:cs="Arial"/>
          <w:color w:val="009B3A"/>
        </w:rPr>
      </w:pPr>
    </w:p>
    <w:p w:rsidR="00163083" w:rsidRDefault="00163083" w:rsidP="00C2618A">
      <w:pPr>
        <w:pStyle w:val="ListParagraph"/>
        <w:ind w:left="0"/>
        <w:rPr>
          <w:rFonts w:ascii="Arial" w:hAnsi="Arial" w:cs="Arial"/>
          <w:color w:val="009B3A"/>
        </w:rPr>
      </w:pPr>
    </w:p>
    <w:p w:rsidR="00F732EB" w:rsidRPr="00F732EB" w:rsidRDefault="00F732EB" w:rsidP="00C2618A">
      <w:pPr>
        <w:pStyle w:val="ListParagraph"/>
        <w:ind w:left="0"/>
        <w:rPr>
          <w:rFonts w:ascii="Arial" w:hAnsi="Arial" w:cs="Arial"/>
          <w:color w:val="009B3A"/>
          <w:sz w:val="32"/>
          <w:szCs w:val="32"/>
        </w:rPr>
      </w:pPr>
      <w:r w:rsidRPr="00F732EB">
        <w:rPr>
          <w:rFonts w:ascii="Arial" w:hAnsi="Arial" w:cs="Arial"/>
          <w:color w:val="165788"/>
          <w:sz w:val="32"/>
          <w:szCs w:val="32"/>
        </w:rPr>
        <w:t xml:space="preserve">Value </w:t>
      </w:r>
      <w:r w:rsidR="00F52F16">
        <w:rPr>
          <w:rFonts w:ascii="Arial" w:hAnsi="Arial" w:cs="Arial"/>
          <w:color w:val="165788"/>
          <w:sz w:val="32"/>
          <w:szCs w:val="32"/>
        </w:rPr>
        <w:t>f</w:t>
      </w:r>
      <w:r w:rsidRPr="00F732EB">
        <w:rPr>
          <w:rFonts w:ascii="Arial" w:hAnsi="Arial" w:cs="Arial"/>
          <w:color w:val="165788"/>
          <w:sz w:val="32"/>
          <w:szCs w:val="32"/>
        </w:rPr>
        <w:t>or Money Standard April 2018</w:t>
      </w:r>
    </w:p>
    <w:p w:rsidR="0054221D" w:rsidRPr="00973A5A" w:rsidRDefault="0054221D" w:rsidP="00C2618A">
      <w:pPr>
        <w:pStyle w:val="ListParagraph"/>
        <w:ind w:left="0"/>
        <w:rPr>
          <w:rFonts w:ascii="Arial" w:hAnsi="Arial" w:cs="Arial"/>
          <w:color w:val="009B3A"/>
        </w:rPr>
      </w:pPr>
    </w:p>
    <w:p w:rsidR="004C6EA5" w:rsidRDefault="004C6EA5" w:rsidP="004C6EA5">
      <w:pPr>
        <w:rPr>
          <w:rFonts w:ascii="Arial" w:hAnsi="Arial" w:cs="Arial"/>
          <w:color w:val="165788"/>
        </w:rPr>
      </w:pPr>
      <w:r w:rsidRPr="00F732EB">
        <w:rPr>
          <w:rFonts w:ascii="Arial" w:hAnsi="Arial" w:cs="Arial"/>
          <w:color w:val="165788"/>
        </w:rPr>
        <w:t xml:space="preserve">In April 2018 the Regulator of Social Housing published a revised Value for Money Standard together with a Code of Practice and technical note. The revised Standard, Code of Practice and technical note introduce a range of metrics by which the regulator will evaluate RP’s performance in delivering VfM, rather than via detailed annual self-assessments submitted be each RP. </w:t>
      </w:r>
    </w:p>
    <w:p w:rsidR="004C6EA5" w:rsidRPr="00F732EB" w:rsidRDefault="004C6EA5" w:rsidP="004C6EA5">
      <w:pPr>
        <w:rPr>
          <w:rFonts w:ascii="Arial" w:hAnsi="Arial" w:cs="Arial"/>
          <w:color w:val="165788"/>
        </w:rPr>
      </w:pPr>
    </w:p>
    <w:p w:rsidR="00973A5A" w:rsidRDefault="00973A5A" w:rsidP="00C2618A">
      <w:pPr>
        <w:pStyle w:val="ListParagraph"/>
        <w:ind w:left="0"/>
        <w:rPr>
          <w:rFonts w:ascii="Arial" w:hAnsi="Arial" w:cs="Arial"/>
          <w:color w:val="165788"/>
        </w:rPr>
      </w:pPr>
      <w:r w:rsidRPr="00973A5A">
        <w:rPr>
          <w:rFonts w:ascii="Arial" w:hAnsi="Arial" w:cs="Arial"/>
          <w:color w:val="165788"/>
        </w:rPr>
        <w:t>Bdht must comply with this standard from April 2018, including compliance in VfM reporting for the financial year 2017/18. It is important in maintain</w:t>
      </w:r>
      <w:r w:rsidR="004C6EA5">
        <w:rPr>
          <w:rFonts w:ascii="Arial" w:hAnsi="Arial" w:cs="Arial"/>
          <w:color w:val="165788"/>
        </w:rPr>
        <w:t>ing</w:t>
      </w:r>
      <w:r w:rsidRPr="00973A5A">
        <w:rPr>
          <w:rFonts w:ascii="Arial" w:hAnsi="Arial" w:cs="Arial"/>
          <w:color w:val="165788"/>
        </w:rPr>
        <w:t xml:space="preserve"> compliance that any necessary changes are identified and </w:t>
      </w:r>
      <w:r w:rsidR="004C6EA5">
        <w:rPr>
          <w:rFonts w:ascii="Arial" w:hAnsi="Arial" w:cs="Arial"/>
          <w:color w:val="165788"/>
        </w:rPr>
        <w:t xml:space="preserve">implemented. The Compliance Committee in February 2018 reviewed in detail the requirements of the revised VfM Standard </w:t>
      </w:r>
      <w:r w:rsidR="00163083">
        <w:rPr>
          <w:rFonts w:ascii="Arial" w:hAnsi="Arial" w:cs="Arial"/>
          <w:color w:val="165788"/>
        </w:rPr>
        <w:t>with</w:t>
      </w:r>
      <w:r w:rsidR="004C6EA5">
        <w:rPr>
          <w:rFonts w:ascii="Arial" w:hAnsi="Arial" w:cs="Arial"/>
          <w:color w:val="165788"/>
        </w:rPr>
        <w:t xml:space="preserve"> Board </w:t>
      </w:r>
      <w:r w:rsidR="00163083">
        <w:rPr>
          <w:rFonts w:ascii="Arial" w:hAnsi="Arial" w:cs="Arial"/>
          <w:color w:val="165788"/>
        </w:rPr>
        <w:t xml:space="preserve">subsequently approving </w:t>
      </w:r>
      <w:r w:rsidR="004C6EA5">
        <w:rPr>
          <w:rFonts w:ascii="Arial" w:hAnsi="Arial" w:cs="Arial"/>
          <w:color w:val="165788"/>
        </w:rPr>
        <w:t>revised VfM reporting arrangements</w:t>
      </w:r>
      <w:r w:rsidR="00362CAE">
        <w:rPr>
          <w:rFonts w:ascii="Arial" w:hAnsi="Arial" w:cs="Arial"/>
          <w:color w:val="165788"/>
        </w:rPr>
        <w:t xml:space="preserve"> and VfM metrics</w:t>
      </w:r>
      <w:r w:rsidR="00BE56B7">
        <w:rPr>
          <w:rFonts w:ascii="Arial" w:hAnsi="Arial" w:cs="Arial"/>
          <w:color w:val="165788"/>
        </w:rPr>
        <w:t xml:space="preserve"> in March 2018</w:t>
      </w:r>
      <w:r w:rsidR="00362CAE">
        <w:rPr>
          <w:rFonts w:ascii="Arial" w:hAnsi="Arial" w:cs="Arial"/>
          <w:color w:val="165788"/>
        </w:rPr>
        <w:t>.</w:t>
      </w:r>
    </w:p>
    <w:p w:rsidR="00BE56B7" w:rsidRDefault="00BE56B7" w:rsidP="00C2618A">
      <w:pPr>
        <w:pStyle w:val="ListParagraph"/>
        <w:ind w:left="0"/>
        <w:rPr>
          <w:rFonts w:ascii="Arial" w:hAnsi="Arial" w:cs="Arial"/>
          <w:color w:val="165788"/>
        </w:rPr>
      </w:pPr>
    </w:p>
    <w:p w:rsidR="00BE56B7" w:rsidRPr="00973A5A" w:rsidRDefault="00BE56B7" w:rsidP="00C2618A">
      <w:pPr>
        <w:pStyle w:val="ListParagraph"/>
        <w:ind w:left="0"/>
        <w:rPr>
          <w:rFonts w:ascii="Arial" w:hAnsi="Arial" w:cs="Arial"/>
          <w:color w:val="165788"/>
        </w:rPr>
      </w:pPr>
      <w:r>
        <w:rPr>
          <w:rFonts w:ascii="Arial" w:hAnsi="Arial" w:cs="Arial"/>
          <w:color w:val="165788"/>
        </w:rPr>
        <w:t xml:space="preserve">A revised Value for Money Strategy, taking in regulatory revisions, is due to be considered by Board in July 2018 following detailed scrutiny by Compliance Committee in June 2018.  </w:t>
      </w:r>
    </w:p>
    <w:p w:rsidR="00973A5A" w:rsidRPr="00973A5A" w:rsidRDefault="00973A5A" w:rsidP="00C2618A">
      <w:pPr>
        <w:pStyle w:val="ListParagraph"/>
        <w:ind w:left="0"/>
        <w:rPr>
          <w:rFonts w:ascii="Arial" w:hAnsi="Arial" w:cs="Arial"/>
          <w:color w:val="009B3A"/>
        </w:rPr>
      </w:pPr>
    </w:p>
    <w:p w:rsidR="00203685" w:rsidRPr="00973A5A" w:rsidRDefault="00203685" w:rsidP="00203685">
      <w:pPr>
        <w:pStyle w:val="ListParagraph"/>
        <w:ind w:left="0"/>
        <w:rPr>
          <w:rFonts w:ascii="Arial" w:hAnsi="Arial" w:cs="Arial"/>
          <w:color w:val="165788"/>
        </w:rPr>
      </w:pPr>
      <w:r w:rsidRPr="00973A5A">
        <w:rPr>
          <w:rFonts w:ascii="Arial" w:hAnsi="Arial" w:cs="Arial"/>
          <w:color w:val="165788"/>
        </w:rPr>
        <w:t>Delivery of new housing supply is a key Government objective and is included as a Value for Money metric. During 2017/18 bdht new supply delivered equated to 2% of existing stock and places bdht well above the last available (2016/17) benchmark median.</w:t>
      </w:r>
    </w:p>
    <w:p w:rsidR="00203685" w:rsidRPr="00973A5A" w:rsidRDefault="00203685" w:rsidP="00C2618A">
      <w:pPr>
        <w:pStyle w:val="ListParagraph"/>
        <w:ind w:left="0"/>
        <w:rPr>
          <w:rFonts w:ascii="Arial" w:hAnsi="Arial" w:cs="Arial"/>
          <w:color w:val="009B3A"/>
        </w:rPr>
      </w:pPr>
    </w:p>
    <w:p w:rsidR="00C2618A" w:rsidRPr="00F732EB" w:rsidRDefault="00C2618A" w:rsidP="00C2618A">
      <w:pPr>
        <w:rPr>
          <w:rFonts w:ascii="Arial" w:hAnsi="Arial" w:cs="Arial"/>
          <w:color w:val="165788"/>
          <w:sz w:val="32"/>
          <w:szCs w:val="32"/>
        </w:rPr>
      </w:pPr>
      <w:r w:rsidRPr="00F732EB">
        <w:rPr>
          <w:rFonts w:ascii="Arial" w:hAnsi="Arial" w:cs="Arial"/>
          <w:color w:val="165788"/>
          <w:sz w:val="32"/>
          <w:szCs w:val="32"/>
        </w:rPr>
        <w:t>Rent Standard</w:t>
      </w:r>
    </w:p>
    <w:p w:rsidR="0054221D" w:rsidRPr="004B5A4E" w:rsidRDefault="0054221D" w:rsidP="00C2618A">
      <w:pPr>
        <w:rPr>
          <w:rFonts w:ascii="Arial" w:hAnsi="Arial" w:cs="Arial"/>
          <w:color w:val="009B3A"/>
          <w:sz w:val="32"/>
          <w:szCs w:val="32"/>
        </w:rPr>
      </w:pPr>
    </w:p>
    <w:p w:rsidR="0054221D" w:rsidRPr="00AD1F92" w:rsidRDefault="00AD1F92" w:rsidP="0054221D">
      <w:pPr>
        <w:rPr>
          <w:rFonts w:ascii="Arial" w:hAnsi="Arial" w:cs="Arial"/>
          <w:color w:val="165788"/>
          <w:shd w:val="clear" w:color="auto" w:fill="FFFFFF"/>
        </w:rPr>
      </w:pPr>
      <w:r w:rsidRPr="00AD1F92">
        <w:rPr>
          <w:rFonts w:ascii="Arial" w:hAnsi="Arial" w:cs="Arial"/>
          <w:color w:val="165788"/>
        </w:rPr>
        <w:t>b</w:t>
      </w:r>
      <w:r w:rsidR="0054221D" w:rsidRPr="00AD1F92">
        <w:rPr>
          <w:rFonts w:ascii="Arial" w:hAnsi="Arial" w:cs="Arial"/>
          <w:color w:val="165788"/>
        </w:rPr>
        <w:t xml:space="preserve">dht has maintained compliance with the rent standard except where the standard has been superseded by the </w:t>
      </w:r>
      <w:r w:rsidR="0054221D" w:rsidRPr="00AD1F92">
        <w:rPr>
          <w:rFonts w:ascii="Arial" w:hAnsi="Arial" w:cs="Arial"/>
          <w:color w:val="165788"/>
          <w:shd w:val="clear" w:color="auto" w:fill="FFFFFF"/>
        </w:rPr>
        <w:t>Welfare Reform &amp; Work Act 2016 and accompanying regulations.</w:t>
      </w:r>
    </w:p>
    <w:p w:rsidR="004B5A4E" w:rsidRDefault="004B5A4E" w:rsidP="0054221D">
      <w:pPr>
        <w:rPr>
          <w:rFonts w:ascii="Arial" w:hAnsi="Arial" w:cs="Arial"/>
          <w:color w:val="009B3A"/>
          <w:shd w:val="clear" w:color="auto" w:fill="FFFFFF"/>
        </w:rPr>
      </w:pPr>
    </w:p>
    <w:p w:rsidR="00CA240D" w:rsidRPr="00AD1F92" w:rsidRDefault="00CA240D" w:rsidP="00C2618A">
      <w:pPr>
        <w:rPr>
          <w:rFonts w:ascii="Arial" w:hAnsi="Arial" w:cs="Arial"/>
          <w:color w:val="165788"/>
        </w:rPr>
      </w:pPr>
      <w:r w:rsidRPr="00AD1F92">
        <w:rPr>
          <w:rFonts w:ascii="Arial" w:hAnsi="Arial" w:cs="Arial"/>
          <w:color w:val="165788"/>
        </w:rPr>
        <w:t xml:space="preserve">A detailed assessment of compliance with </w:t>
      </w:r>
      <w:r w:rsidR="00AD1F92">
        <w:rPr>
          <w:rFonts w:ascii="Arial" w:hAnsi="Arial" w:cs="Arial"/>
          <w:color w:val="165788"/>
        </w:rPr>
        <w:t>RSH</w:t>
      </w:r>
      <w:r w:rsidRPr="00AD1F92">
        <w:rPr>
          <w:rFonts w:ascii="Arial" w:hAnsi="Arial" w:cs="Arial"/>
          <w:color w:val="165788"/>
        </w:rPr>
        <w:t xml:space="preserve"> “economic” Standards is set out below.</w:t>
      </w:r>
    </w:p>
    <w:p w:rsidR="00CA240D" w:rsidRPr="004B5A4E" w:rsidRDefault="00CA240D" w:rsidP="00142CC6">
      <w:pPr>
        <w:rPr>
          <w:rFonts w:ascii="Arial" w:hAnsi="Arial" w:cs="Arial"/>
          <w:b/>
          <w:color w:val="009B3A"/>
        </w:rPr>
      </w:pPr>
    </w:p>
    <w:p w:rsidR="003D1D6A" w:rsidRPr="00D67626" w:rsidRDefault="00C2618A" w:rsidP="00142CC6">
      <w:pPr>
        <w:rPr>
          <w:rFonts w:ascii="Arial" w:hAnsi="Arial" w:cs="Arial"/>
          <w:b/>
        </w:rPr>
      </w:pPr>
      <w:r w:rsidRPr="00F732EB">
        <w:rPr>
          <w:rFonts w:ascii="Arial" w:hAnsi="Arial" w:cs="Arial"/>
          <w:b/>
          <w:color w:val="165788"/>
        </w:rPr>
        <w:t>Compliance Committee</w:t>
      </w:r>
      <w:r w:rsidR="00D67626" w:rsidRPr="00F732EB">
        <w:rPr>
          <w:rFonts w:ascii="Arial" w:hAnsi="Arial" w:cs="Arial"/>
          <w:b/>
          <w:color w:val="165788"/>
        </w:rPr>
        <w:t xml:space="preserve"> </w:t>
      </w:r>
      <w:r w:rsidR="00833CFD" w:rsidRPr="00F732EB">
        <w:rPr>
          <w:rFonts w:ascii="Arial" w:hAnsi="Arial" w:cs="Arial"/>
          <w:b/>
          <w:color w:val="165788"/>
        </w:rPr>
        <w:t>June</w:t>
      </w:r>
      <w:r w:rsidR="00ED26DF" w:rsidRPr="00F732EB">
        <w:rPr>
          <w:rFonts w:ascii="Arial" w:hAnsi="Arial" w:cs="Arial"/>
          <w:b/>
          <w:color w:val="165788"/>
        </w:rPr>
        <w:t xml:space="preserve"> 201</w:t>
      </w:r>
      <w:r w:rsidR="00F732EB">
        <w:rPr>
          <w:rFonts w:ascii="Arial" w:hAnsi="Arial" w:cs="Arial"/>
          <w:b/>
          <w:color w:val="165788"/>
        </w:rPr>
        <w:t>8</w:t>
      </w:r>
      <w:r w:rsidR="003D1D6A" w:rsidRPr="00D67626">
        <w:rPr>
          <w:rFonts w:ascii="Arial" w:hAnsi="Arial" w:cs="Arial"/>
          <w:b/>
        </w:rPr>
        <w:br w:type="page"/>
      </w:r>
    </w:p>
    <w:p w:rsidR="003D1D6A" w:rsidRDefault="003D1D6A">
      <w:pPr>
        <w:rPr>
          <w:rFonts w:ascii="Arial" w:hAnsi="Arial" w:cs="Arial"/>
        </w:rPr>
      </w:pPr>
    </w:p>
    <w:p w:rsidR="003D1D6A" w:rsidRPr="00AD1F92" w:rsidRDefault="00AD1F92" w:rsidP="003D1D6A">
      <w:pPr>
        <w:jc w:val="center"/>
        <w:rPr>
          <w:rFonts w:ascii="Arial" w:hAnsi="Arial" w:cs="Arial"/>
          <w:b/>
          <w:color w:val="165788"/>
          <w:sz w:val="72"/>
          <w:szCs w:val="72"/>
        </w:rPr>
      </w:pPr>
      <w:r w:rsidRPr="00AD1F92">
        <w:rPr>
          <w:rFonts w:ascii="Arial" w:hAnsi="Arial" w:cs="Arial"/>
          <w:b/>
          <w:color w:val="165788"/>
          <w:sz w:val="72"/>
          <w:szCs w:val="72"/>
        </w:rPr>
        <w:t>RSH</w:t>
      </w:r>
      <w:r w:rsidR="003D1D6A" w:rsidRPr="00AD1F92">
        <w:rPr>
          <w:rFonts w:ascii="Arial" w:hAnsi="Arial" w:cs="Arial"/>
          <w:b/>
          <w:color w:val="165788"/>
          <w:sz w:val="72"/>
          <w:szCs w:val="72"/>
        </w:rPr>
        <w:t xml:space="preserve"> </w:t>
      </w:r>
      <w:r w:rsidR="00402088" w:rsidRPr="00AD1F92">
        <w:rPr>
          <w:rFonts w:ascii="Arial" w:hAnsi="Arial" w:cs="Arial"/>
          <w:b/>
          <w:color w:val="165788"/>
          <w:sz w:val="72"/>
          <w:szCs w:val="72"/>
        </w:rPr>
        <w:t>“</w:t>
      </w:r>
      <w:r w:rsidR="003D1D6A" w:rsidRPr="00AD1F92">
        <w:rPr>
          <w:rFonts w:ascii="Arial" w:hAnsi="Arial" w:cs="Arial"/>
          <w:b/>
          <w:color w:val="165788"/>
          <w:sz w:val="72"/>
          <w:szCs w:val="72"/>
        </w:rPr>
        <w:t>Economic</w:t>
      </w:r>
      <w:r w:rsidR="00402088" w:rsidRPr="00AD1F92">
        <w:rPr>
          <w:rFonts w:ascii="Arial" w:hAnsi="Arial" w:cs="Arial"/>
          <w:b/>
          <w:color w:val="165788"/>
          <w:sz w:val="72"/>
          <w:szCs w:val="72"/>
        </w:rPr>
        <w:t>”</w:t>
      </w:r>
      <w:r w:rsidR="003D1D6A" w:rsidRPr="00AD1F92">
        <w:rPr>
          <w:rFonts w:ascii="Arial" w:hAnsi="Arial" w:cs="Arial"/>
          <w:b/>
          <w:color w:val="165788"/>
          <w:sz w:val="72"/>
          <w:szCs w:val="72"/>
        </w:rPr>
        <w:t xml:space="preserve"> Standards</w:t>
      </w:r>
    </w:p>
    <w:p w:rsidR="001330FC" w:rsidRPr="00AD1F92" w:rsidRDefault="001330FC" w:rsidP="003D1D6A">
      <w:pPr>
        <w:jc w:val="center"/>
        <w:rPr>
          <w:rFonts w:ascii="Arial" w:hAnsi="Arial" w:cs="Arial"/>
          <w:b/>
          <w:color w:val="165788"/>
          <w:sz w:val="40"/>
          <w:szCs w:val="40"/>
        </w:rPr>
      </w:pPr>
    </w:p>
    <w:p w:rsidR="001330FC" w:rsidRPr="00AD1F92" w:rsidRDefault="001330FC" w:rsidP="003D1D6A">
      <w:pPr>
        <w:jc w:val="center"/>
        <w:rPr>
          <w:rFonts w:ascii="Arial" w:hAnsi="Arial" w:cs="Arial"/>
          <w:b/>
          <w:color w:val="165788"/>
          <w:sz w:val="40"/>
          <w:szCs w:val="40"/>
        </w:rPr>
      </w:pPr>
    </w:p>
    <w:p w:rsidR="003D1D6A" w:rsidRPr="00AD1F92" w:rsidRDefault="003D1D6A" w:rsidP="003D1D6A">
      <w:pPr>
        <w:jc w:val="center"/>
        <w:rPr>
          <w:rFonts w:ascii="Arial" w:hAnsi="Arial" w:cs="Arial"/>
          <w:b/>
          <w:color w:val="165788"/>
          <w:sz w:val="32"/>
          <w:szCs w:val="32"/>
        </w:rPr>
      </w:pPr>
    </w:p>
    <w:p w:rsidR="003D1D6A" w:rsidRPr="00AD1F92" w:rsidRDefault="003D1D6A" w:rsidP="00896CA9">
      <w:pPr>
        <w:pStyle w:val="ListParagraph"/>
        <w:numPr>
          <w:ilvl w:val="0"/>
          <w:numId w:val="1"/>
        </w:numPr>
        <w:jc w:val="center"/>
        <w:rPr>
          <w:rFonts w:ascii="Arial" w:hAnsi="Arial" w:cs="Arial"/>
          <w:b/>
          <w:color w:val="165788"/>
          <w:sz w:val="56"/>
          <w:szCs w:val="56"/>
        </w:rPr>
      </w:pPr>
      <w:r w:rsidRPr="00AD1F92">
        <w:rPr>
          <w:rFonts w:ascii="Arial" w:hAnsi="Arial" w:cs="Arial"/>
          <w:b/>
          <w:color w:val="165788"/>
          <w:sz w:val="56"/>
          <w:szCs w:val="56"/>
        </w:rPr>
        <w:t>Governance &amp; Financial Viability</w:t>
      </w:r>
      <w:r w:rsidR="001330FC" w:rsidRPr="00AD1F92">
        <w:rPr>
          <w:rFonts w:ascii="Arial" w:hAnsi="Arial" w:cs="Arial"/>
          <w:b/>
          <w:color w:val="165788"/>
          <w:sz w:val="56"/>
          <w:szCs w:val="56"/>
        </w:rPr>
        <w:t xml:space="preserve"> Standard</w:t>
      </w:r>
    </w:p>
    <w:p w:rsidR="00C66CA1" w:rsidRPr="00AD1F92" w:rsidRDefault="00C66CA1" w:rsidP="00C66CA1">
      <w:pPr>
        <w:jc w:val="center"/>
        <w:rPr>
          <w:rFonts w:ascii="Arial" w:hAnsi="Arial" w:cs="Arial"/>
          <w:b/>
          <w:color w:val="165788"/>
          <w:sz w:val="56"/>
          <w:szCs w:val="56"/>
        </w:rPr>
      </w:pPr>
    </w:p>
    <w:p w:rsidR="00C66CA1" w:rsidRPr="00AD1F92" w:rsidRDefault="00C66CA1" w:rsidP="00896CA9">
      <w:pPr>
        <w:pStyle w:val="ListParagraph"/>
        <w:numPr>
          <w:ilvl w:val="0"/>
          <w:numId w:val="1"/>
        </w:numPr>
        <w:jc w:val="center"/>
        <w:rPr>
          <w:rFonts w:ascii="Arial" w:hAnsi="Arial" w:cs="Arial"/>
          <w:b/>
          <w:color w:val="165788"/>
          <w:sz w:val="56"/>
          <w:szCs w:val="56"/>
        </w:rPr>
      </w:pPr>
      <w:r w:rsidRPr="00AD1F92">
        <w:rPr>
          <w:rFonts w:ascii="Arial" w:hAnsi="Arial" w:cs="Arial"/>
          <w:b/>
          <w:color w:val="165788"/>
          <w:sz w:val="56"/>
          <w:szCs w:val="56"/>
        </w:rPr>
        <w:t>Code of Practice</w:t>
      </w:r>
    </w:p>
    <w:p w:rsidR="003D1D6A" w:rsidRPr="00DE5150" w:rsidRDefault="003D1D6A" w:rsidP="003D1D6A">
      <w:pPr>
        <w:jc w:val="center"/>
        <w:rPr>
          <w:rFonts w:ascii="Arial" w:hAnsi="Arial" w:cs="Arial"/>
          <w:b/>
          <w:color w:val="009B3A"/>
          <w:sz w:val="56"/>
          <w:szCs w:val="56"/>
        </w:rPr>
      </w:pPr>
    </w:p>
    <w:p w:rsidR="003D1D6A" w:rsidRPr="00AD1F92" w:rsidRDefault="001330FC" w:rsidP="00896CA9">
      <w:pPr>
        <w:pStyle w:val="ListParagraph"/>
        <w:numPr>
          <w:ilvl w:val="0"/>
          <w:numId w:val="1"/>
        </w:numPr>
        <w:jc w:val="center"/>
        <w:rPr>
          <w:rFonts w:ascii="Arial" w:hAnsi="Arial" w:cs="Arial"/>
          <w:b/>
          <w:color w:val="165788"/>
          <w:sz w:val="56"/>
          <w:szCs w:val="56"/>
        </w:rPr>
      </w:pPr>
      <w:r w:rsidRPr="00AD1F92">
        <w:rPr>
          <w:rFonts w:ascii="Arial" w:hAnsi="Arial" w:cs="Arial"/>
          <w:b/>
          <w:color w:val="165788"/>
          <w:sz w:val="56"/>
          <w:szCs w:val="56"/>
        </w:rPr>
        <w:t>Value for Money Standard</w:t>
      </w:r>
      <w:r w:rsidR="00C66CA1" w:rsidRPr="00AD1F92">
        <w:rPr>
          <w:rFonts w:ascii="Arial" w:hAnsi="Arial" w:cs="Arial"/>
          <w:b/>
          <w:color w:val="165788"/>
          <w:sz w:val="56"/>
          <w:szCs w:val="56"/>
        </w:rPr>
        <w:t xml:space="preserve"> </w:t>
      </w:r>
    </w:p>
    <w:p w:rsidR="00AD1F92" w:rsidRPr="00AD1F92" w:rsidRDefault="00AD1F92" w:rsidP="00AD1F92">
      <w:pPr>
        <w:pStyle w:val="ListParagraph"/>
        <w:rPr>
          <w:rFonts w:ascii="Arial" w:hAnsi="Arial" w:cs="Arial"/>
          <w:b/>
          <w:color w:val="165788"/>
          <w:sz w:val="56"/>
          <w:szCs w:val="56"/>
        </w:rPr>
      </w:pPr>
    </w:p>
    <w:p w:rsidR="00AD1F92" w:rsidRPr="00AD1F92" w:rsidRDefault="00AD1F92" w:rsidP="00896CA9">
      <w:pPr>
        <w:pStyle w:val="ListParagraph"/>
        <w:numPr>
          <w:ilvl w:val="0"/>
          <w:numId w:val="1"/>
        </w:numPr>
        <w:jc w:val="center"/>
        <w:rPr>
          <w:rFonts w:ascii="Arial" w:hAnsi="Arial" w:cs="Arial"/>
          <w:b/>
          <w:color w:val="165788"/>
          <w:sz w:val="56"/>
          <w:szCs w:val="56"/>
        </w:rPr>
      </w:pPr>
      <w:r w:rsidRPr="00AD1F92">
        <w:rPr>
          <w:rFonts w:ascii="Arial" w:hAnsi="Arial" w:cs="Arial"/>
          <w:b/>
          <w:color w:val="165788"/>
          <w:sz w:val="56"/>
          <w:szCs w:val="56"/>
        </w:rPr>
        <w:t>Code of Practice</w:t>
      </w:r>
    </w:p>
    <w:p w:rsidR="001330FC" w:rsidRPr="00AD1F92" w:rsidRDefault="001330FC" w:rsidP="001330FC">
      <w:pPr>
        <w:pStyle w:val="ListParagraph"/>
        <w:rPr>
          <w:rFonts w:ascii="Arial" w:hAnsi="Arial" w:cs="Arial"/>
          <w:b/>
          <w:color w:val="165788"/>
          <w:sz w:val="56"/>
          <w:szCs w:val="56"/>
        </w:rPr>
      </w:pPr>
    </w:p>
    <w:p w:rsidR="001330FC" w:rsidRPr="00AD1F92" w:rsidRDefault="001330FC" w:rsidP="00896CA9">
      <w:pPr>
        <w:pStyle w:val="ListParagraph"/>
        <w:numPr>
          <w:ilvl w:val="0"/>
          <w:numId w:val="1"/>
        </w:numPr>
        <w:jc w:val="center"/>
        <w:rPr>
          <w:rFonts w:ascii="Arial" w:hAnsi="Arial" w:cs="Arial"/>
          <w:b/>
          <w:color w:val="165788"/>
          <w:sz w:val="56"/>
          <w:szCs w:val="56"/>
        </w:rPr>
      </w:pPr>
      <w:r w:rsidRPr="00AD1F92">
        <w:rPr>
          <w:rFonts w:ascii="Arial" w:hAnsi="Arial" w:cs="Arial"/>
          <w:b/>
          <w:color w:val="165788"/>
          <w:sz w:val="56"/>
          <w:szCs w:val="56"/>
        </w:rPr>
        <w:t>Rent Standard</w:t>
      </w:r>
    </w:p>
    <w:p w:rsidR="003D1D6A" w:rsidRPr="00C81FC7" w:rsidRDefault="003D1D6A">
      <w:pPr>
        <w:rPr>
          <w:rFonts w:ascii="Arial" w:hAnsi="Arial" w:cs="Arial"/>
          <w:b/>
          <w:color w:val="42145F"/>
        </w:rPr>
      </w:pPr>
    </w:p>
    <w:p w:rsidR="003D1D6A" w:rsidRPr="00EC58F7" w:rsidRDefault="00684966" w:rsidP="00402088">
      <w:pPr>
        <w:spacing w:after="120"/>
        <w:rPr>
          <w:rFonts w:ascii="Arial" w:hAnsi="Arial" w:cs="Arial"/>
          <w:b/>
          <w:color w:val="165788"/>
        </w:rPr>
      </w:pPr>
      <w:r w:rsidRPr="00EC58F7">
        <w:rPr>
          <w:rFonts w:ascii="Arial" w:hAnsi="Arial" w:cs="Arial"/>
          <w:b/>
          <w:color w:val="165788"/>
        </w:rPr>
        <w:t xml:space="preserve">The </w:t>
      </w:r>
      <w:r w:rsidR="00EC58F7" w:rsidRPr="00EC58F7">
        <w:rPr>
          <w:rFonts w:ascii="Arial" w:hAnsi="Arial" w:cs="Arial"/>
          <w:b/>
          <w:color w:val="165788"/>
        </w:rPr>
        <w:t>Regulator of Social Housing</w:t>
      </w:r>
      <w:r w:rsidRPr="00EC58F7">
        <w:rPr>
          <w:rFonts w:ascii="Arial" w:hAnsi="Arial" w:cs="Arial"/>
          <w:b/>
          <w:color w:val="165788"/>
        </w:rPr>
        <w:t xml:space="preserve"> Economic Standards</w:t>
      </w:r>
    </w:p>
    <w:p w:rsidR="00D0431A" w:rsidRPr="00EC58F7" w:rsidRDefault="00D0431A" w:rsidP="00402088">
      <w:pPr>
        <w:pStyle w:val="NormalWeb"/>
        <w:shd w:val="clear" w:color="auto" w:fill="FFFFFF"/>
        <w:spacing w:before="300" w:beforeAutospacing="0" w:after="120" w:afterAutospacing="0"/>
        <w:rPr>
          <w:rFonts w:ascii="Arial" w:hAnsi="Arial" w:cs="Arial"/>
          <w:color w:val="165788"/>
        </w:rPr>
      </w:pPr>
      <w:r w:rsidRPr="00EC58F7">
        <w:rPr>
          <w:rFonts w:ascii="Arial" w:hAnsi="Arial" w:cs="Arial"/>
          <w:color w:val="165788"/>
        </w:rPr>
        <w:t>The regulatory framework for social housing in England is made up of:</w:t>
      </w:r>
    </w:p>
    <w:p w:rsidR="00D0431A" w:rsidRPr="00EC58F7" w:rsidRDefault="00D0431A" w:rsidP="00166189">
      <w:pPr>
        <w:numPr>
          <w:ilvl w:val="0"/>
          <w:numId w:val="24"/>
        </w:numPr>
        <w:shd w:val="clear" w:color="auto" w:fill="FFFFFF"/>
        <w:tabs>
          <w:tab w:val="clear" w:pos="720"/>
          <w:tab w:val="num" w:pos="567"/>
        </w:tabs>
        <w:ind w:left="567" w:hanging="567"/>
        <w:rPr>
          <w:rFonts w:ascii="Arial" w:hAnsi="Arial" w:cs="Arial"/>
          <w:color w:val="165788"/>
        </w:rPr>
      </w:pPr>
      <w:r w:rsidRPr="00EC58F7">
        <w:rPr>
          <w:rFonts w:ascii="Arial" w:hAnsi="Arial" w:cs="Arial"/>
          <w:color w:val="165788"/>
        </w:rPr>
        <w:t>regulatory requirements – what registered providers need to comply with</w:t>
      </w:r>
    </w:p>
    <w:p w:rsidR="00D0431A" w:rsidRPr="00EC58F7" w:rsidRDefault="00D0431A" w:rsidP="00896CA9">
      <w:pPr>
        <w:numPr>
          <w:ilvl w:val="0"/>
          <w:numId w:val="24"/>
        </w:numPr>
        <w:shd w:val="clear" w:color="auto" w:fill="FFFFFF"/>
        <w:tabs>
          <w:tab w:val="clear" w:pos="720"/>
          <w:tab w:val="num" w:pos="567"/>
        </w:tabs>
        <w:ind w:left="567" w:hanging="567"/>
        <w:rPr>
          <w:rFonts w:ascii="Arial" w:hAnsi="Arial" w:cs="Arial"/>
          <w:color w:val="165788"/>
        </w:rPr>
      </w:pPr>
      <w:r w:rsidRPr="00EC58F7">
        <w:rPr>
          <w:rStyle w:val="apple-converted-space"/>
          <w:rFonts w:ascii="Arial" w:hAnsi="Arial" w:cs="Arial"/>
          <w:color w:val="165788"/>
        </w:rPr>
        <w:t>codes of practice </w:t>
      </w:r>
      <w:r w:rsidRPr="00EC58F7">
        <w:rPr>
          <w:rFonts w:ascii="Arial" w:hAnsi="Arial" w:cs="Arial"/>
          <w:color w:val="165788"/>
        </w:rPr>
        <w:t>– a code of practice can amplify any economic standard to assist registered providers in understanding how compliance might be achieved</w:t>
      </w:r>
    </w:p>
    <w:p w:rsidR="00D0431A" w:rsidRPr="00EC58F7" w:rsidRDefault="00D0431A" w:rsidP="00896CA9">
      <w:pPr>
        <w:numPr>
          <w:ilvl w:val="0"/>
          <w:numId w:val="24"/>
        </w:numPr>
        <w:shd w:val="clear" w:color="auto" w:fill="FFFFFF"/>
        <w:tabs>
          <w:tab w:val="clear" w:pos="720"/>
          <w:tab w:val="num" w:pos="567"/>
        </w:tabs>
        <w:spacing w:after="120"/>
        <w:ind w:left="567" w:hanging="567"/>
        <w:rPr>
          <w:rFonts w:ascii="Arial" w:hAnsi="Arial" w:cs="Arial"/>
          <w:color w:val="165788"/>
        </w:rPr>
      </w:pPr>
      <w:r w:rsidRPr="00EC58F7">
        <w:rPr>
          <w:rFonts w:ascii="Arial" w:hAnsi="Arial" w:cs="Arial"/>
          <w:color w:val="165788"/>
        </w:rPr>
        <w:t>regulatory guidance – this provides further explanatory information on the regulatory requirements and includes how the regulator will carry out its role of regulating the requirements</w:t>
      </w:r>
      <w:r w:rsidR="00E76A1D" w:rsidRPr="00EC58F7">
        <w:rPr>
          <w:rFonts w:ascii="Arial" w:hAnsi="Arial" w:cs="Arial"/>
          <w:color w:val="165788"/>
        </w:rPr>
        <w:t>.</w:t>
      </w:r>
    </w:p>
    <w:p w:rsidR="00E76A1D" w:rsidRPr="00EC58F7" w:rsidRDefault="00E76A1D" w:rsidP="00166189">
      <w:pPr>
        <w:pStyle w:val="NormalWeb"/>
        <w:shd w:val="clear" w:color="auto" w:fill="FFFFFF"/>
        <w:spacing w:before="0" w:beforeAutospacing="0" w:after="0" w:afterAutospacing="0"/>
        <w:rPr>
          <w:rFonts w:ascii="Arial" w:hAnsi="Arial" w:cs="Arial"/>
          <w:color w:val="165788"/>
        </w:rPr>
      </w:pPr>
      <w:r w:rsidRPr="00EC58F7">
        <w:rPr>
          <w:rFonts w:ascii="Arial" w:hAnsi="Arial" w:cs="Arial"/>
          <w:color w:val="165788"/>
        </w:rPr>
        <w:t xml:space="preserve">The </w:t>
      </w:r>
      <w:r w:rsidR="00EC58F7" w:rsidRPr="00EC58F7">
        <w:rPr>
          <w:rFonts w:ascii="Arial" w:hAnsi="Arial" w:cs="Arial"/>
          <w:color w:val="165788"/>
        </w:rPr>
        <w:t>RSH</w:t>
      </w:r>
      <w:r w:rsidRPr="00EC58F7">
        <w:rPr>
          <w:rFonts w:ascii="Arial" w:hAnsi="Arial" w:cs="Arial"/>
          <w:color w:val="165788"/>
        </w:rPr>
        <w:t xml:space="preserve"> regulatory standards</w:t>
      </w:r>
      <w:r w:rsidRPr="00EC58F7">
        <w:rPr>
          <w:rStyle w:val="apple-converted-space"/>
          <w:rFonts w:ascii="Arial" w:hAnsi="Arial" w:cs="Arial"/>
          <w:color w:val="165788"/>
        </w:rPr>
        <w:t> </w:t>
      </w:r>
      <w:r w:rsidRPr="00EC58F7">
        <w:rPr>
          <w:rFonts w:ascii="Arial" w:hAnsi="Arial" w:cs="Arial"/>
          <w:color w:val="165788"/>
        </w:rPr>
        <w:t xml:space="preserve">for social housing in England are at the core of </w:t>
      </w:r>
      <w:r w:rsidR="00EC58F7" w:rsidRPr="00EC58F7">
        <w:rPr>
          <w:rFonts w:ascii="Arial" w:hAnsi="Arial" w:cs="Arial"/>
          <w:color w:val="165788"/>
        </w:rPr>
        <w:t>RSH</w:t>
      </w:r>
      <w:r w:rsidRPr="00EC58F7">
        <w:rPr>
          <w:rFonts w:ascii="Arial" w:hAnsi="Arial" w:cs="Arial"/>
          <w:color w:val="165788"/>
        </w:rPr>
        <w:t xml:space="preserve"> regulatory requirements. Each standard sets out required outcomes and specific expectations of registered providers. </w:t>
      </w:r>
    </w:p>
    <w:p w:rsidR="00E76A1D" w:rsidRPr="00EC58F7" w:rsidRDefault="00E76A1D" w:rsidP="00166189">
      <w:pPr>
        <w:pStyle w:val="NormalWeb"/>
        <w:shd w:val="clear" w:color="auto" w:fill="FFFFFF"/>
        <w:spacing w:before="300" w:beforeAutospacing="0" w:after="0" w:afterAutospacing="0"/>
        <w:rPr>
          <w:rFonts w:ascii="Arial" w:hAnsi="Arial" w:cs="Arial"/>
          <w:color w:val="165788"/>
        </w:rPr>
      </w:pPr>
      <w:r w:rsidRPr="00EC58F7">
        <w:rPr>
          <w:rFonts w:ascii="Arial" w:hAnsi="Arial" w:cs="Arial"/>
          <w:color w:val="165788"/>
        </w:rPr>
        <w:t xml:space="preserve">The role of the </w:t>
      </w:r>
      <w:r w:rsidR="00EC58F7" w:rsidRPr="00EC58F7">
        <w:rPr>
          <w:rFonts w:ascii="Arial" w:hAnsi="Arial" w:cs="Arial"/>
          <w:color w:val="165788"/>
        </w:rPr>
        <w:t>RSH</w:t>
      </w:r>
      <w:r w:rsidRPr="00EC58F7">
        <w:rPr>
          <w:rFonts w:ascii="Arial" w:hAnsi="Arial" w:cs="Arial"/>
          <w:color w:val="165788"/>
        </w:rPr>
        <w:t xml:space="preserve"> is to proactively regulate the 3 standards which are classified as ‘economic’. These are</w:t>
      </w:r>
    </w:p>
    <w:p w:rsidR="00E76A1D" w:rsidRPr="00EC58F7" w:rsidRDefault="00E76A1D" w:rsidP="00896CA9">
      <w:pPr>
        <w:numPr>
          <w:ilvl w:val="0"/>
          <w:numId w:val="25"/>
        </w:numPr>
        <w:shd w:val="clear" w:color="auto" w:fill="FFFFFF"/>
        <w:ind w:left="567" w:hanging="567"/>
        <w:rPr>
          <w:rFonts w:ascii="Arial" w:hAnsi="Arial" w:cs="Arial"/>
          <w:color w:val="165788"/>
        </w:rPr>
      </w:pPr>
      <w:r w:rsidRPr="00EC58F7">
        <w:rPr>
          <w:rFonts w:ascii="Arial" w:hAnsi="Arial" w:cs="Arial"/>
          <w:color w:val="165788"/>
        </w:rPr>
        <w:t>the Governance and Financial Viability Standard</w:t>
      </w:r>
    </w:p>
    <w:p w:rsidR="00E76A1D" w:rsidRPr="00EC58F7" w:rsidRDefault="00E76A1D" w:rsidP="00896CA9">
      <w:pPr>
        <w:numPr>
          <w:ilvl w:val="0"/>
          <w:numId w:val="25"/>
        </w:numPr>
        <w:shd w:val="clear" w:color="auto" w:fill="FFFFFF"/>
        <w:ind w:left="567" w:hanging="567"/>
        <w:rPr>
          <w:rFonts w:ascii="Arial" w:hAnsi="Arial" w:cs="Arial"/>
          <w:color w:val="165788"/>
        </w:rPr>
      </w:pPr>
      <w:r w:rsidRPr="00EC58F7">
        <w:rPr>
          <w:rFonts w:ascii="Arial" w:hAnsi="Arial" w:cs="Arial"/>
          <w:color w:val="165788"/>
        </w:rPr>
        <w:t>the Value for Money Standard</w:t>
      </w:r>
    </w:p>
    <w:p w:rsidR="00E76A1D" w:rsidRPr="00EC58F7" w:rsidRDefault="00E76A1D" w:rsidP="00896CA9">
      <w:pPr>
        <w:numPr>
          <w:ilvl w:val="0"/>
          <w:numId w:val="25"/>
        </w:numPr>
        <w:shd w:val="clear" w:color="auto" w:fill="FFFFFF"/>
        <w:spacing w:after="120"/>
        <w:ind w:left="567" w:hanging="567"/>
        <w:rPr>
          <w:rFonts w:ascii="Arial" w:hAnsi="Arial" w:cs="Arial"/>
          <w:color w:val="165788"/>
        </w:rPr>
      </w:pPr>
      <w:r w:rsidRPr="00EC58F7">
        <w:rPr>
          <w:rFonts w:ascii="Arial" w:hAnsi="Arial" w:cs="Arial"/>
          <w:color w:val="165788"/>
        </w:rPr>
        <w:t>the Rent Standard.</w:t>
      </w:r>
    </w:p>
    <w:p w:rsidR="00E76A1D" w:rsidRPr="00EC58F7" w:rsidRDefault="00EC58F7" w:rsidP="00402088">
      <w:pPr>
        <w:shd w:val="clear" w:color="auto" w:fill="FFFFFF"/>
        <w:spacing w:after="120"/>
        <w:rPr>
          <w:rFonts w:ascii="Arial" w:hAnsi="Arial" w:cs="Arial"/>
          <w:color w:val="165788"/>
        </w:rPr>
      </w:pPr>
      <w:r w:rsidRPr="00EC58F7">
        <w:rPr>
          <w:rFonts w:ascii="Arial" w:hAnsi="Arial" w:cs="Arial"/>
          <w:color w:val="165788"/>
        </w:rPr>
        <w:t>T</w:t>
      </w:r>
      <w:r w:rsidR="00E76A1D" w:rsidRPr="00EC58F7">
        <w:rPr>
          <w:rFonts w:ascii="Arial" w:hAnsi="Arial" w:cs="Arial"/>
          <w:color w:val="165788"/>
        </w:rPr>
        <w:t>he Compliance Committee has been delegated to undertake an annual assessment of compliance against these “economic” standards.</w:t>
      </w:r>
    </w:p>
    <w:p w:rsidR="00E76A1D" w:rsidRPr="00EC58F7" w:rsidRDefault="00E76A1D" w:rsidP="00402088">
      <w:pPr>
        <w:pStyle w:val="NormalWeb"/>
        <w:shd w:val="clear" w:color="auto" w:fill="FFFFFF"/>
        <w:spacing w:before="300" w:beforeAutospacing="0" w:after="120" w:afterAutospacing="0"/>
        <w:rPr>
          <w:rFonts w:ascii="Arial" w:hAnsi="Arial" w:cs="Arial"/>
          <w:color w:val="165788"/>
        </w:rPr>
      </w:pPr>
      <w:r w:rsidRPr="00EC58F7">
        <w:rPr>
          <w:rFonts w:ascii="Arial" w:hAnsi="Arial" w:cs="Arial"/>
          <w:color w:val="165788"/>
        </w:rPr>
        <w:t xml:space="preserve">The remaining 4 standards are classified by the </w:t>
      </w:r>
      <w:r w:rsidR="00EC58F7" w:rsidRPr="00EC58F7">
        <w:rPr>
          <w:rFonts w:ascii="Arial" w:hAnsi="Arial" w:cs="Arial"/>
          <w:color w:val="165788"/>
        </w:rPr>
        <w:t>RSH</w:t>
      </w:r>
      <w:r w:rsidRPr="00EC58F7">
        <w:rPr>
          <w:rFonts w:ascii="Arial" w:hAnsi="Arial" w:cs="Arial"/>
          <w:color w:val="165788"/>
        </w:rPr>
        <w:t xml:space="preserve"> as ‘consumer’ where the role of the </w:t>
      </w:r>
      <w:r w:rsidR="00EC58F7" w:rsidRPr="00EC58F7">
        <w:rPr>
          <w:rFonts w:ascii="Arial" w:hAnsi="Arial" w:cs="Arial"/>
          <w:color w:val="165788"/>
        </w:rPr>
        <w:t>RSH</w:t>
      </w:r>
      <w:r w:rsidRPr="00EC58F7">
        <w:rPr>
          <w:rFonts w:ascii="Arial" w:hAnsi="Arial" w:cs="Arial"/>
          <w:color w:val="165788"/>
        </w:rPr>
        <w:t xml:space="preserve"> is reactive in response to referrals or other information received. The </w:t>
      </w:r>
      <w:r w:rsidR="00EC58F7" w:rsidRPr="00EC58F7">
        <w:rPr>
          <w:rFonts w:ascii="Arial" w:hAnsi="Arial" w:cs="Arial"/>
          <w:color w:val="165788"/>
        </w:rPr>
        <w:t>RSH</w:t>
      </w:r>
      <w:r w:rsidRPr="00EC58F7">
        <w:rPr>
          <w:rFonts w:ascii="Arial" w:hAnsi="Arial" w:cs="Arial"/>
          <w:color w:val="165788"/>
        </w:rPr>
        <w:t xml:space="preserve"> will only interve</w:t>
      </w:r>
      <w:r w:rsidR="00166189" w:rsidRPr="00EC58F7">
        <w:rPr>
          <w:rFonts w:ascii="Arial" w:hAnsi="Arial" w:cs="Arial"/>
          <w:color w:val="165788"/>
        </w:rPr>
        <w:t>ne</w:t>
      </w:r>
      <w:r w:rsidRPr="00EC58F7">
        <w:rPr>
          <w:rFonts w:ascii="Arial" w:hAnsi="Arial" w:cs="Arial"/>
          <w:color w:val="165788"/>
        </w:rPr>
        <w:t xml:space="preserve"> where failure to meet the standards has caused or could have caused serious harm to tenants. The</w:t>
      </w:r>
      <w:r w:rsidR="00402088" w:rsidRPr="00EC58F7">
        <w:rPr>
          <w:rFonts w:ascii="Arial" w:hAnsi="Arial" w:cs="Arial"/>
          <w:color w:val="165788"/>
        </w:rPr>
        <w:t xml:space="preserve"> consumer standards</w:t>
      </w:r>
      <w:r w:rsidRPr="00EC58F7">
        <w:rPr>
          <w:rFonts w:ascii="Arial" w:hAnsi="Arial" w:cs="Arial"/>
          <w:color w:val="165788"/>
        </w:rPr>
        <w:t xml:space="preserve"> are</w:t>
      </w:r>
    </w:p>
    <w:p w:rsidR="00E76A1D" w:rsidRPr="00EC58F7" w:rsidRDefault="00E76A1D" w:rsidP="00896CA9">
      <w:pPr>
        <w:numPr>
          <w:ilvl w:val="0"/>
          <w:numId w:val="26"/>
        </w:numPr>
        <w:shd w:val="clear" w:color="auto" w:fill="FFFFFF"/>
        <w:ind w:left="312"/>
        <w:rPr>
          <w:rFonts w:ascii="Arial" w:hAnsi="Arial" w:cs="Arial"/>
          <w:color w:val="165788"/>
        </w:rPr>
      </w:pPr>
      <w:r w:rsidRPr="00EC58F7">
        <w:rPr>
          <w:rFonts w:ascii="Arial" w:hAnsi="Arial" w:cs="Arial"/>
          <w:color w:val="165788"/>
        </w:rPr>
        <w:t>the Tenant Involvement and Empowerment Standard</w:t>
      </w:r>
    </w:p>
    <w:p w:rsidR="00E76A1D" w:rsidRPr="00EC58F7" w:rsidRDefault="00E76A1D" w:rsidP="00896CA9">
      <w:pPr>
        <w:numPr>
          <w:ilvl w:val="0"/>
          <w:numId w:val="26"/>
        </w:numPr>
        <w:shd w:val="clear" w:color="auto" w:fill="FFFFFF"/>
        <w:ind w:left="312"/>
        <w:rPr>
          <w:rFonts w:ascii="Arial" w:hAnsi="Arial" w:cs="Arial"/>
          <w:color w:val="165788"/>
        </w:rPr>
      </w:pPr>
      <w:r w:rsidRPr="00EC58F7">
        <w:rPr>
          <w:rFonts w:ascii="Arial" w:hAnsi="Arial" w:cs="Arial"/>
          <w:color w:val="165788"/>
        </w:rPr>
        <w:t>the Home Standard</w:t>
      </w:r>
    </w:p>
    <w:p w:rsidR="00E76A1D" w:rsidRPr="00EC58F7" w:rsidRDefault="00E76A1D" w:rsidP="00896CA9">
      <w:pPr>
        <w:numPr>
          <w:ilvl w:val="0"/>
          <w:numId w:val="26"/>
        </w:numPr>
        <w:shd w:val="clear" w:color="auto" w:fill="FFFFFF"/>
        <w:ind w:left="312"/>
        <w:rPr>
          <w:rFonts w:ascii="Arial" w:hAnsi="Arial" w:cs="Arial"/>
          <w:color w:val="165788"/>
        </w:rPr>
      </w:pPr>
      <w:r w:rsidRPr="00EC58F7">
        <w:rPr>
          <w:rFonts w:ascii="Arial" w:hAnsi="Arial" w:cs="Arial"/>
          <w:color w:val="165788"/>
        </w:rPr>
        <w:t>the Tenancy Standard</w:t>
      </w:r>
    </w:p>
    <w:p w:rsidR="00E76A1D" w:rsidRPr="00EC58F7" w:rsidRDefault="00E76A1D" w:rsidP="00896CA9">
      <w:pPr>
        <w:numPr>
          <w:ilvl w:val="0"/>
          <w:numId w:val="26"/>
        </w:numPr>
        <w:shd w:val="clear" w:color="auto" w:fill="FFFFFF"/>
        <w:ind w:left="312"/>
        <w:rPr>
          <w:rFonts w:ascii="Arial" w:hAnsi="Arial" w:cs="Arial"/>
          <w:color w:val="165788"/>
        </w:rPr>
      </w:pPr>
      <w:r w:rsidRPr="00EC58F7">
        <w:rPr>
          <w:rFonts w:ascii="Arial" w:hAnsi="Arial" w:cs="Arial"/>
          <w:color w:val="165788"/>
        </w:rPr>
        <w:t>the Neighbourhood and Community Standard.</w:t>
      </w:r>
    </w:p>
    <w:p w:rsidR="00E76A1D" w:rsidRPr="00EC58F7" w:rsidRDefault="00E76A1D" w:rsidP="00E76A1D">
      <w:pPr>
        <w:shd w:val="clear" w:color="auto" w:fill="FFFFFF"/>
        <w:rPr>
          <w:rFonts w:ascii="Arial" w:hAnsi="Arial" w:cs="Arial"/>
          <w:color w:val="165788"/>
        </w:rPr>
      </w:pPr>
    </w:p>
    <w:p w:rsidR="00E76A1D" w:rsidRPr="00EC58F7" w:rsidRDefault="00402088" w:rsidP="00E76A1D">
      <w:pPr>
        <w:shd w:val="clear" w:color="auto" w:fill="FFFFFF"/>
        <w:rPr>
          <w:rFonts w:ascii="Arial" w:hAnsi="Arial" w:cs="Arial"/>
          <w:color w:val="165788"/>
        </w:rPr>
      </w:pPr>
      <w:r w:rsidRPr="00EC58F7">
        <w:rPr>
          <w:rFonts w:ascii="Arial" w:hAnsi="Arial" w:cs="Arial"/>
          <w:color w:val="165788"/>
        </w:rPr>
        <w:t>b</w:t>
      </w:r>
      <w:r w:rsidR="00E76A1D" w:rsidRPr="00EC58F7">
        <w:rPr>
          <w:rFonts w:ascii="Arial" w:hAnsi="Arial" w:cs="Arial"/>
          <w:color w:val="165788"/>
        </w:rPr>
        <w:t xml:space="preserve">dht compliance with these “consumer” standards </w:t>
      </w:r>
      <w:r w:rsidR="00EC58F7" w:rsidRPr="00EC58F7">
        <w:rPr>
          <w:rFonts w:ascii="Arial" w:hAnsi="Arial" w:cs="Arial"/>
          <w:color w:val="165788"/>
        </w:rPr>
        <w:t>is</w:t>
      </w:r>
      <w:r w:rsidR="00E76A1D" w:rsidRPr="00EC58F7">
        <w:rPr>
          <w:rFonts w:ascii="Arial" w:hAnsi="Arial" w:cs="Arial"/>
          <w:color w:val="165788"/>
        </w:rPr>
        <w:t xml:space="preserve"> assessed each year by the Tenant Panel reporting via the Performance and Review Committee</w:t>
      </w:r>
      <w:r w:rsidR="00166189" w:rsidRPr="00EC58F7">
        <w:rPr>
          <w:rFonts w:ascii="Arial" w:hAnsi="Arial" w:cs="Arial"/>
          <w:color w:val="165788"/>
        </w:rPr>
        <w:t xml:space="preserve"> to Board</w:t>
      </w:r>
      <w:r w:rsidR="00E76A1D" w:rsidRPr="00EC58F7">
        <w:rPr>
          <w:rFonts w:ascii="Arial" w:hAnsi="Arial" w:cs="Arial"/>
          <w:color w:val="165788"/>
        </w:rPr>
        <w:t>.</w:t>
      </w:r>
    </w:p>
    <w:p w:rsidR="003D1D6A" w:rsidRDefault="003D1D6A">
      <w:pPr>
        <w:rPr>
          <w:rFonts w:ascii="Arial" w:hAnsi="Arial" w:cs="Arial"/>
        </w:rPr>
      </w:pPr>
    </w:p>
    <w:p w:rsidR="00EC58F7" w:rsidRDefault="00EC58F7">
      <w:pPr>
        <w:rPr>
          <w:rFonts w:ascii="Arial" w:hAnsi="Arial" w:cs="Arial"/>
        </w:rPr>
      </w:pPr>
    </w:p>
    <w:tbl>
      <w:tblPr>
        <w:tblW w:w="14029" w:type="dxa"/>
        <w:tblBorders>
          <w:top w:val="single" w:sz="4" w:space="0" w:color="165788"/>
          <w:left w:val="single" w:sz="4" w:space="0" w:color="165788"/>
          <w:bottom w:val="single" w:sz="4" w:space="0" w:color="165788"/>
          <w:right w:val="single" w:sz="4" w:space="0" w:color="165788"/>
          <w:insideH w:val="single" w:sz="4" w:space="0" w:color="165788"/>
          <w:insideV w:val="single" w:sz="4" w:space="0" w:color="165788"/>
        </w:tblBorders>
        <w:tblLook w:val="04A0" w:firstRow="1" w:lastRow="0" w:firstColumn="1" w:lastColumn="0" w:noHBand="0" w:noVBand="1"/>
      </w:tblPr>
      <w:tblGrid>
        <w:gridCol w:w="1129"/>
        <w:gridCol w:w="284"/>
        <w:gridCol w:w="886"/>
        <w:gridCol w:w="11730"/>
      </w:tblGrid>
      <w:tr w:rsidR="00C92AA9" w:rsidRPr="007C4B1F" w:rsidTr="00232412">
        <w:trPr>
          <w:trHeight w:val="848"/>
        </w:trPr>
        <w:tc>
          <w:tcPr>
            <w:tcW w:w="2299" w:type="dxa"/>
            <w:gridSpan w:val="3"/>
            <w:tcBorders>
              <w:bottom w:val="single" w:sz="4" w:space="0" w:color="FFFFFF" w:themeColor="background1"/>
              <w:right w:val="single" w:sz="4" w:space="0" w:color="FFFFFF" w:themeColor="background1"/>
            </w:tcBorders>
            <w:shd w:val="clear" w:color="auto" w:fill="165788"/>
            <w:vAlign w:val="center"/>
          </w:tcPr>
          <w:p w:rsidR="00C92AA9" w:rsidRPr="00C92AA9" w:rsidRDefault="00C92AA9" w:rsidP="00ED4018">
            <w:pPr>
              <w:rPr>
                <w:rFonts w:ascii="Arial" w:hAnsi="Arial" w:cs="Arial"/>
                <w:b/>
                <w:color w:val="FFFFFF"/>
                <w:sz w:val="28"/>
                <w:szCs w:val="28"/>
              </w:rPr>
            </w:pPr>
            <w:r w:rsidRPr="00C92AA9">
              <w:rPr>
                <w:rFonts w:ascii="Arial" w:hAnsi="Arial" w:cs="Arial"/>
                <w:b/>
                <w:color w:val="FFFFFF"/>
                <w:sz w:val="28"/>
                <w:szCs w:val="28"/>
              </w:rPr>
              <w:t>Standard</w:t>
            </w:r>
          </w:p>
        </w:tc>
        <w:tc>
          <w:tcPr>
            <w:tcW w:w="11730" w:type="dxa"/>
            <w:tcBorders>
              <w:left w:val="single" w:sz="4" w:space="0" w:color="FFFFFF" w:themeColor="background1"/>
              <w:bottom w:val="single" w:sz="4" w:space="0" w:color="FFFFFF" w:themeColor="background1"/>
            </w:tcBorders>
            <w:shd w:val="clear" w:color="auto" w:fill="165788"/>
            <w:vAlign w:val="center"/>
          </w:tcPr>
          <w:p w:rsidR="00C92AA9" w:rsidRPr="00C92AA9" w:rsidRDefault="00C92AA9" w:rsidP="00D608F3">
            <w:pPr>
              <w:rPr>
                <w:rFonts w:ascii="Arial" w:hAnsi="Arial" w:cs="Arial"/>
                <w:b/>
                <w:color w:val="FFFFFF"/>
                <w:sz w:val="28"/>
                <w:szCs w:val="28"/>
              </w:rPr>
            </w:pPr>
            <w:r w:rsidRPr="00C92AA9">
              <w:rPr>
                <w:rFonts w:ascii="Arial" w:hAnsi="Arial" w:cs="Arial"/>
                <w:b/>
                <w:color w:val="FFFFFF"/>
                <w:sz w:val="28"/>
                <w:szCs w:val="28"/>
              </w:rPr>
              <w:t>Governance and Financial Viability Standard</w:t>
            </w:r>
          </w:p>
        </w:tc>
      </w:tr>
      <w:tr w:rsidR="00A17CE8" w:rsidRPr="007C4B1F" w:rsidTr="00232412">
        <w:trPr>
          <w:trHeight w:val="680"/>
        </w:trPr>
        <w:tc>
          <w:tcPr>
            <w:tcW w:w="14029" w:type="dxa"/>
            <w:gridSpan w:val="4"/>
            <w:tcBorders>
              <w:top w:val="single" w:sz="4" w:space="0" w:color="FFFFFF" w:themeColor="background1"/>
            </w:tcBorders>
            <w:shd w:val="clear" w:color="auto" w:fill="165788"/>
            <w:vAlign w:val="center"/>
          </w:tcPr>
          <w:p w:rsidR="00A17CE8" w:rsidRPr="00C2618A" w:rsidRDefault="00A17CE8" w:rsidP="00A17CE8">
            <w:pPr>
              <w:spacing w:before="100" w:beforeAutospacing="1" w:after="100" w:afterAutospacing="1"/>
              <w:rPr>
                <w:rFonts w:ascii="Arial" w:hAnsi="Arial" w:cs="Arial"/>
                <w:b/>
                <w:color w:val="FFFFFF" w:themeColor="background1"/>
              </w:rPr>
            </w:pPr>
            <w:r w:rsidRPr="00C2618A">
              <w:rPr>
                <w:rFonts w:ascii="Arial" w:hAnsi="Arial" w:cs="Arial"/>
                <w:b/>
                <w:color w:val="FFFFFF" w:themeColor="background1"/>
              </w:rPr>
              <w:t>Required Outcomes</w:t>
            </w:r>
            <w:r w:rsidR="00D608F3" w:rsidRPr="00C2618A">
              <w:rPr>
                <w:rFonts w:ascii="Arial" w:hAnsi="Arial" w:cs="Arial"/>
                <w:b/>
                <w:color w:val="FFFFFF" w:themeColor="background1"/>
              </w:rPr>
              <w:t>: 1.1 Governance</w:t>
            </w:r>
          </w:p>
        </w:tc>
      </w:tr>
      <w:tr w:rsidR="00A17CE8" w:rsidRPr="007C4B1F" w:rsidTr="00232412">
        <w:tc>
          <w:tcPr>
            <w:tcW w:w="14029" w:type="dxa"/>
            <w:gridSpan w:val="4"/>
            <w:shd w:val="clear" w:color="auto" w:fill="auto"/>
          </w:tcPr>
          <w:p w:rsidR="00A17CE8" w:rsidRPr="00414434" w:rsidRDefault="00A17CE8" w:rsidP="00A17CE8">
            <w:pPr>
              <w:spacing w:before="100" w:beforeAutospacing="1" w:after="100" w:afterAutospacing="1"/>
              <w:rPr>
                <w:rFonts w:ascii="Arial" w:hAnsi="Arial" w:cs="Arial"/>
                <w:b/>
                <w:lang w:eastAsia="en-GB"/>
              </w:rPr>
            </w:pPr>
            <w:r w:rsidRPr="00414434">
              <w:rPr>
                <w:rFonts w:ascii="Arial" w:hAnsi="Arial" w:cs="Arial"/>
                <w:b/>
                <w:lang w:eastAsia="en-GB"/>
              </w:rPr>
              <w:t xml:space="preserve">Registered providers shall ensure effective governance arrangements that deliver their aims, objectives and intended outcomes for tenants and potential tenants in an effective, transparent and accountable manner. Governance arrangements shall ensure </w:t>
            </w:r>
            <w:r w:rsidR="00D608F3" w:rsidRPr="00414434">
              <w:rPr>
                <w:rFonts w:ascii="Arial" w:hAnsi="Arial" w:cs="Arial"/>
                <w:b/>
                <w:lang w:eastAsia="en-GB"/>
              </w:rPr>
              <w:t>registered providers:</w:t>
            </w:r>
          </w:p>
          <w:p w:rsidR="00A17CE8" w:rsidRPr="00414434" w:rsidRDefault="00A17CE8" w:rsidP="00896CA9">
            <w:pPr>
              <w:numPr>
                <w:ilvl w:val="0"/>
                <w:numId w:val="2"/>
              </w:numPr>
              <w:spacing w:before="100" w:beforeAutospacing="1" w:after="100" w:afterAutospacing="1"/>
              <w:rPr>
                <w:rFonts w:ascii="Arial" w:hAnsi="Arial" w:cs="Arial"/>
                <w:b/>
                <w:lang w:eastAsia="en-GB"/>
              </w:rPr>
            </w:pPr>
            <w:r w:rsidRPr="00414434">
              <w:rPr>
                <w:rFonts w:ascii="Arial" w:hAnsi="Arial" w:cs="Arial"/>
                <w:b/>
                <w:lang w:eastAsia="en-GB"/>
              </w:rPr>
              <w:t xml:space="preserve">adhere to all relevant </w:t>
            </w:r>
            <w:r w:rsidR="00D608F3" w:rsidRPr="00414434">
              <w:rPr>
                <w:rFonts w:ascii="Arial" w:hAnsi="Arial" w:cs="Arial"/>
                <w:b/>
                <w:lang w:eastAsia="en-GB"/>
              </w:rPr>
              <w:t>law</w:t>
            </w:r>
            <w:r w:rsidRPr="00414434">
              <w:rPr>
                <w:rFonts w:ascii="Arial" w:hAnsi="Arial" w:cs="Arial"/>
                <w:b/>
                <w:lang w:eastAsia="en-GB"/>
              </w:rPr>
              <w:t xml:space="preserve"> </w:t>
            </w:r>
          </w:p>
          <w:p w:rsidR="00A17CE8" w:rsidRPr="00414434" w:rsidRDefault="00A17CE8" w:rsidP="00896CA9">
            <w:pPr>
              <w:numPr>
                <w:ilvl w:val="0"/>
                <w:numId w:val="2"/>
              </w:numPr>
              <w:spacing w:before="100" w:beforeAutospacing="1" w:after="100" w:afterAutospacing="1"/>
              <w:rPr>
                <w:rFonts w:ascii="Arial" w:hAnsi="Arial" w:cs="Arial"/>
                <w:b/>
                <w:lang w:eastAsia="en-GB"/>
              </w:rPr>
            </w:pPr>
            <w:r w:rsidRPr="00414434">
              <w:rPr>
                <w:rFonts w:ascii="Arial" w:hAnsi="Arial" w:cs="Arial"/>
                <w:b/>
                <w:lang w:eastAsia="en-GB"/>
              </w:rPr>
              <w:t xml:space="preserve">comply with their governing documents and all regulatory requirements </w:t>
            </w:r>
          </w:p>
          <w:p w:rsidR="00A17CE8" w:rsidRPr="00414434" w:rsidRDefault="00A17CE8" w:rsidP="00896CA9">
            <w:pPr>
              <w:numPr>
                <w:ilvl w:val="0"/>
                <w:numId w:val="2"/>
              </w:numPr>
              <w:spacing w:before="100" w:beforeAutospacing="1" w:after="100" w:afterAutospacing="1"/>
              <w:rPr>
                <w:rFonts w:ascii="Arial" w:hAnsi="Arial" w:cs="Arial"/>
                <w:b/>
                <w:lang w:eastAsia="en-GB"/>
              </w:rPr>
            </w:pPr>
            <w:r w:rsidRPr="00414434">
              <w:rPr>
                <w:rFonts w:ascii="Arial" w:hAnsi="Arial" w:cs="Arial"/>
                <w:b/>
                <w:lang w:eastAsia="en-GB"/>
              </w:rPr>
              <w:t xml:space="preserve">are accountable to tenants, the regulator and relevant stakeholders </w:t>
            </w:r>
          </w:p>
          <w:p w:rsidR="00A17CE8" w:rsidRPr="00414434" w:rsidRDefault="00A17CE8" w:rsidP="00896CA9">
            <w:pPr>
              <w:numPr>
                <w:ilvl w:val="0"/>
                <w:numId w:val="2"/>
              </w:numPr>
              <w:spacing w:before="100" w:beforeAutospacing="1" w:after="100" w:afterAutospacing="1"/>
              <w:rPr>
                <w:rFonts w:ascii="Arial" w:hAnsi="Arial" w:cs="Arial"/>
                <w:b/>
                <w:lang w:eastAsia="en-GB"/>
              </w:rPr>
            </w:pPr>
            <w:r w:rsidRPr="00414434">
              <w:rPr>
                <w:rFonts w:ascii="Arial" w:hAnsi="Arial" w:cs="Arial"/>
                <w:b/>
                <w:lang w:eastAsia="en-GB"/>
              </w:rPr>
              <w:t xml:space="preserve">safeguard taxpayers’ interests and the reputation of the sector </w:t>
            </w:r>
          </w:p>
          <w:p w:rsidR="00D608F3" w:rsidRPr="00414434" w:rsidRDefault="00A17CE8" w:rsidP="00896CA9">
            <w:pPr>
              <w:numPr>
                <w:ilvl w:val="0"/>
                <w:numId w:val="2"/>
              </w:numPr>
              <w:spacing w:before="100" w:beforeAutospacing="1" w:after="100" w:afterAutospacing="1"/>
              <w:rPr>
                <w:rFonts w:ascii="Arial" w:hAnsi="Arial" w:cs="Arial"/>
                <w:b/>
              </w:rPr>
            </w:pPr>
            <w:r w:rsidRPr="00414434">
              <w:rPr>
                <w:rFonts w:ascii="Arial" w:hAnsi="Arial" w:cs="Arial"/>
                <w:b/>
                <w:lang w:eastAsia="en-GB"/>
              </w:rPr>
              <w:t>have an effective risk management and internal controls assurance framework</w:t>
            </w:r>
          </w:p>
          <w:p w:rsidR="00A17CE8" w:rsidRPr="00414434" w:rsidRDefault="00D608F3" w:rsidP="00896CA9">
            <w:pPr>
              <w:numPr>
                <w:ilvl w:val="0"/>
                <w:numId w:val="2"/>
              </w:numPr>
              <w:spacing w:before="100" w:beforeAutospacing="1" w:after="100" w:afterAutospacing="1"/>
              <w:rPr>
                <w:rFonts w:ascii="Arial" w:hAnsi="Arial" w:cs="Arial"/>
                <w:b/>
              </w:rPr>
            </w:pPr>
            <w:r w:rsidRPr="00414434">
              <w:rPr>
                <w:rFonts w:ascii="Arial" w:hAnsi="Arial" w:cs="Arial"/>
                <w:b/>
                <w:lang w:eastAsia="en-GB"/>
              </w:rPr>
              <w:t>protect social housing assets.</w:t>
            </w:r>
          </w:p>
        </w:tc>
      </w:tr>
      <w:tr w:rsidR="000253EB" w:rsidRPr="007C4B1F" w:rsidTr="00232412">
        <w:trPr>
          <w:trHeight w:val="577"/>
        </w:trPr>
        <w:tc>
          <w:tcPr>
            <w:tcW w:w="14029" w:type="dxa"/>
            <w:gridSpan w:val="4"/>
            <w:shd w:val="clear" w:color="auto" w:fill="auto"/>
            <w:vAlign w:val="center"/>
          </w:tcPr>
          <w:p w:rsidR="000253EB" w:rsidRPr="00971698" w:rsidRDefault="000253EB" w:rsidP="00D608F3">
            <w:pPr>
              <w:rPr>
                <w:rFonts w:ascii="Arial" w:hAnsi="Arial" w:cs="Arial"/>
                <w:b/>
              </w:rPr>
            </w:pPr>
            <w:r w:rsidRPr="00971698">
              <w:rPr>
                <w:rFonts w:ascii="Arial" w:hAnsi="Arial" w:cs="Arial"/>
                <w:b/>
              </w:rPr>
              <w:t>Code of Practice Paragraph 1.1</w:t>
            </w:r>
          </w:p>
        </w:tc>
      </w:tr>
      <w:tr w:rsidR="000253EB" w:rsidRPr="007C4B1F" w:rsidTr="00232412">
        <w:trPr>
          <w:trHeight w:val="653"/>
        </w:trPr>
        <w:tc>
          <w:tcPr>
            <w:tcW w:w="1413" w:type="dxa"/>
            <w:gridSpan w:val="2"/>
            <w:shd w:val="clear" w:color="auto" w:fill="auto"/>
            <w:vAlign w:val="center"/>
          </w:tcPr>
          <w:p w:rsidR="000253EB" w:rsidRPr="000253EB" w:rsidRDefault="000253EB" w:rsidP="00E751C1">
            <w:pPr>
              <w:jc w:val="center"/>
              <w:rPr>
                <w:rFonts w:ascii="Arial" w:hAnsi="Arial" w:cs="Arial"/>
              </w:rPr>
            </w:pPr>
            <w:r w:rsidRPr="000253EB">
              <w:rPr>
                <w:rFonts w:ascii="Arial" w:hAnsi="Arial" w:cs="Arial"/>
              </w:rPr>
              <w:t>6</w:t>
            </w:r>
          </w:p>
        </w:tc>
        <w:tc>
          <w:tcPr>
            <w:tcW w:w="12616" w:type="dxa"/>
            <w:gridSpan w:val="2"/>
            <w:shd w:val="clear" w:color="auto" w:fill="auto"/>
            <w:vAlign w:val="center"/>
          </w:tcPr>
          <w:p w:rsidR="000253EB" w:rsidRPr="000253EB" w:rsidRDefault="000253EB" w:rsidP="00D608F3">
            <w:pPr>
              <w:rPr>
                <w:rFonts w:ascii="Arial" w:hAnsi="Arial" w:cs="Arial"/>
              </w:rPr>
            </w:pPr>
            <w:r w:rsidRPr="000253EB">
              <w:rPr>
                <w:rFonts w:ascii="Arial" w:hAnsi="Arial" w:cs="Arial"/>
              </w:rPr>
              <w:t>The required outcome for governance ensures the delivery of a registered provider’s objectives, including being responsible holders and stewards of social housing assets. The regulator considers the reference to compliance with ‘all relevant law’ in the first bullet point encompasses legislation (including secondary legislation), and common law. In ensuring compliance registered providers should have regard to relevant statutory guidance. To meet the required outcome on adherence to all relevant law boards should take reasonable measures to assure themselves of their compliance.</w:t>
            </w:r>
          </w:p>
        </w:tc>
      </w:tr>
      <w:tr w:rsidR="000253EB" w:rsidRPr="007C4B1F" w:rsidTr="00232412">
        <w:trPr>
          <w:trHeight w:val="653"/>
        </w:trPr>
        <w:tc>
          <w:tcPr>
            <w:tcW w:w="1413" w:type="dxa"/>
            <w:gridSpan w:val="2"/>
            <w:shd w:val="clear" w:color="auto" w:fill="auto"/>
            <w:vAlign w:val="center"/>
          </w:tcPr>
          <w:p w:rsidR="000253EB" w:rsidRPr="000253EB" w:rsidRDefault="000253EB" w:rsidP="00E751C1">
            <w:pPr>
              <w:jc w:val="center"/>
              <w:rPr>
                <w:rFonts w:ascii="Arial" w:hAnsi="Arial" w:cs="Arial"/>
              </w:rPr>
            </w:pPr>
            <w:r w:rsidRPr="000253EB">
              <w:rPr>
                <w:rFonts w:ascii="Arial" w:hAnsi="Arial" w:cs="Arial"/>
              </w:rPr>
              <w:t>7</w:t>
            </w:r>
          </w:p>
        </w:tc>
        <w:tc>
          <w:tcPr>
            <w:tcW w:w="12616" w:type="dxa"/>
            <w:gridSpan w:val="2"/>
            <w:shd w:val="clear" w:color="auto" w:fill="auto"/>
            <w:vAlign w:val="center"/>
          </w:tcPr>
          <w:p w:rsidR="000253EB" w:rsidRDefault="000253EB" w:rsidP="00D608F3">
            <w:pPr>
              <w:rPr>
                <w:rFonts w:ascii="Arial" w:hAnsi="Arial" w:cs="Arial"/>
              </w:rPr>
            </w:pPr>
            <w:r w:rsidRPr="000253EB">
              <w:rPr>
                <w:rFonts w:ascii="Arial" w:hAnsi="Arial" w:cs="Arial"/>
              </w:rPr>
              <w:t>The fourth bullet point concerns reputation. Reputation is key in maintaining confidence in the sector. The social housing sector has benefited from being part of a regulated sector with low lending rates combined with the availability of public investment. Registered providers should ensure that they manage their businesses and their risks in such a way that they do not negatively impact on the reputation of the sector.</w:t>
            </w:r>
          </w:p>
          <w:p w:rsidR="00CC1FA0" w:rsidRPr="000253EB" w:rsidRDefault="00CC1FA0" w:rsidP="00D608F3">
            <w:pPr>
              <w:rPr>
                <w:rFonts w:ascii="Arial" w:hAnsi="Arial" w:cs="Arial"/>
              </w:rPr>
            </w:pPr>
          </w:p>
        </w:tc>
      </w:tr>
      <w:tr w:rsidR="00C2618A" w:rsidRPr="007C4B1F" w:rsidTr="00CD6A23">
        <w:trPr>
          <w:trHeight w:val="567"/>
        </w:trPr>
        <w:tc>
          <w:tcPr>
            <w:tcW w:w="14029" w:type="dxa"/>
            <w:gridSpan w:val="4"/>
            <w:shd w:val="clear" w:color="auto" w:fill="165788"/>
            <w:vAlign w:val="center"/>
          </w:tcPr>
          <w:p w:rsidR="00C2618A" w:rsidRPr="00CD6A23" w:rsidRDefault="00C2618A" w:rsidP="00CC1FA0">
            <w:pPr>
              <w:rPr>
                <w:rFonts w:ascii="Arial" w:hAnsi="Arial" w:cs="Arial"/>
                <w:color w:val="FFFFFF" w:themeColor="background1"/>
              </w:rPr>
            </w:pPr>
            <w:r w:rsidRPr="00CD6A23">
              <w:rPr>
                <w:rFonts w:ascii="Arial" w:hAnsi="Arial" w:cs="Arial"/>
                <w:b/>
                <w:color w:val="FFFFFF" w:themeColor="background1"/>
              </w:rPr>
              <w:t>Bdht Compliance Position: Compliant</w:t>
            </w:r>
          </w:p>
        </w:tc>
      </w:tr>
      <w:tr w:rsidR="000253EB" w:rsidRPr="007C4B1F" w:rsidTr="00232412">
        <w:trPr>
          <w:trHeight w:val="653"/>
        </w:trPr>
        <w:tc>
          <w:tcPr>
            <w:tcW w:w="14029" w:type="dxa"/>
            <w:gridSpan w:val="4"/>
            <w:shd w:val="clear" w:color="auto" w:fill="auto"/>
            <w:vAlign w:val="center"/>
          </w:tcPr>
          <w:p w:rsidR="0074519F" w:rsidRPr="00CD6A23" w:rsidRDefault="0074519F" w:rsidP="00D608F3">
            <w:pPr>
              <w:rPr>
                <w:rFonts w:ascii="Arial" w:hAnsi="Arial" w:cs="Arial"/>
                <w:color w:val="165788"/>
              </w:rPr>
            </w:pPr>
            <w:r w:rsidRPr="00CD6A23">
              <w:rPr>
                <w:rFonts w:ascii="Arial" w:hAnsi="Arial" w:cs="Arial"/>
                <w:b/>
                <w:color w:val="165788"/>
              </w:rPr>
              <w:t xml:space="preserve">Adhere to all relevant law </w:t>
            </w:r>
            <w:r w:rsidRPr="00CD6A23">
              <w:rPr>
                <w:rFonts w:ascii="Arial" w:hAnsi="Arial" w:cs="Arial"/>
                <w:color w:val="165788"/>
              </w:rPr>
              <w:t>– the Board take reasonable measures to assure themselves of compliance including:-</w:t>
            </w:r>
          </w:p>
          <w:p w:rsidR="0074519F" w:rsidRPr="00CD6A23" w:rsidRDefault="0074519F" w:rsidP="00896CA9">
            <w:pPr>
              <w:pStyle w:val="ListParagraph"/>
              <w:numPr>
                <w:ilvl w:val="0"/>
                <w:numId w:val="14"/>
              </w:numPr>
              <w:rPr>
                <w:rFonts w:ascii="Arial" w:hAnsi="Arial" w:cs="Arial"/>
                <w:color w:val="165788"/>
              </w:rPr>
            </w:pPr>
            <w:r w:rsidRPr="00CD6A23">
              <w:rPr>
                <w:rFonts w:ascii="Arial" w:hAnsi="Arial" w:cs="Arial"/>
                <w:color w:val="165788"/>
              </w:rPr>
              <w:t>appointment of non-executive directors with specific expertise required by the Board;</w:t>
            </w:r>
          </w:p>
          <w:p w:rsidR="0074519F" w:rsidRPr="00CD6A23" w:rsidRDefault="0074519F" w:rsidP="00896CA9">
            <w:pPr>
              <w:pStyle w:val="ListParagraph"/>
              <w:numPr>
                <w:ilvl w:val="0"/>
                <w:numId w:val="14"/>
              </w:numPr>
              <w:rPr>
                <w:rFonts w:ascii="Arial" w:hAnsi="Arial" w:cs="Arial"/>
                <w:color w:val="165788"/>
              </w:rPr>
            </w:pPr>
            <w:r w:rsidRPr="00CD6A23">
              <w:rPr>
                <w:rFonts w:ascii="Arial" w:hAnsi="Arial" w:cs="Arial"/>
                <w:color w:val="165788"/>
              </w:rPr>
              <w:t>appointment of a</w:t>
            </w:r>
            <w:r w:rsidR="00CD6A23" w:rsidRPr="00CD6A23">
              <w:rPr>
                <w:rFonts w:ascii="Arial" w:hAnsi="Arial" w:cs="Arial"/>
                <w:color w:val="165788"/>
              </w:rPr>
              <w:t>n appropriately qualified,</w:t>
            </w:r>
            <w:r w:rsidRPr="00CD6A23">
              <w:rPr>
                <w:rFonts w:ascii="Arial" w:hAnsi="Arial" w:cs="Arial"/>
                <w:color w:val="165788"/>
              </w:rPr>
              <w:t xml:space="preserve"> very experienced and effective management team;</w:t>
            </w:r>
          </w:p>
          <w:p w:rsidR="00CA240D" w:rsidRPr="00CD6A23" w:rsidRDefault="00CA240D" w:rsidP="00896CA9">
            <w:pPr>
              <w:pStyle w:val="ListParagraph"/>
              <w:numPr>
                <w:ilvl w:val="0"/>
                <w:numId w:val="14"/>
              </w:numPr>
              <w:rPr>
                <w:rFonts w:ascii="Arial" w:hAnsi="Arial" w:cs="Arial"/>
                <w:color w:val="165788"/>
              </w:rPr>
            </w:pPr>
            <w:r w:rsidRPr="00CD6A23">
              <w:rPr>
                <w:rFonts w:ascii="Arial" w:hAnsi="Arial" w:cs="Arial"/>
                <w:color w:val="165788"/>
              </w:rPr>
              <w:t>the external auditor provides assurance of  compliance with company legislation;</w:t>
            </w:r>
          </w:p>
          <w:p w:rsidR="00792443" w:rsidRPr="00CD6A23" w:rsidRDefault="00792443" w:rsidP="00896CA9">
            <w:pPr>
              <w:pStyle w:val="ListParagraph"/>
              <w:numPr>
                <w:ilvl w:val="0"/>
                <w:numId w:val="14"/>
              </w:numPr>
              <w:rPr>
                <w:rFonts w:ascii="Arial" w:hAnsi="Arial" w:cs="Arial"/>
                <w:color w:val="165788"/>
              </w:rPr>
            </w:pPr>
            <w:r w:rsidRPr="00CD6A23">
              <w:rPr>
                <w:rFonts w:ascii="Arial" w:hAnsi="Arial" w:cs="Arial"/>
                <w:color w:val="165788"/>
              </w:rPr>
              <w:t>an internal audit programme agreed and reviewed by the Compliance Committee;</w:t>
            </w:r>
          </w:p>
          <w:p w:rsidR="00792443" w:rsidRPr="00CD6A23" w:rsidRDefault="00792443" w:rsidP="00896CA9">
            <w:pPr>
              <w:pStyle w:val="ListParagraph"/>
              <w:numPr>
                <w:ilvl w:val="0"/>
                <w:numId w:val="14"/>
              </w:numPr>
              <w:rPr>
                <w:rFonts w:ascii="Arial" w:hAnsi="Arial" w:cs="Arial"/>
                <w:color w:val="165788"/>
              </w:rPr>
            </w:pPr>
            <w:r w:rsidRPr="00CD6A23">
              <w:rPr>
                <w:rFonts w:ascii="Arial" w:hAnsi="Arial" w:cs="Arial"/>
                <w:color w:val="165788"/>
              </w:rPr>
              <w:t>risk map highlighting potential impact on changes in legislation, case law etc;</w:t>
            </w:r>
          </w:p>
          <w:p w:rsidR="002D4976" w:rsidRPr="00CD6A23" w:rsidRDefault="0054666E" w:rsidP="00083EDD">
            <w:pPr>
              <w:pStyle w:val="ListParagraph"/>
              <w:numPr>
                <w:ilvl w:val="0"/>
                <w:numId w:val="14"/>
              </w:numPr>
              <w:rPr>
                <w:rFonts w:ascii="Arial" w:hAnsi="Arial" w:cs="Arial"/>
                <w:color w:val="165788"/>
              </w:rPr>
            </w:pPr>
            <w:r w:rsidRPr="00CD6A23">
              <w:rPr>
                <w:rFonts w:ascii="Arial" w:hAnsi="Arial" w:cs="Arial"/>
                <w:color w:val="165788"/>
              </w:rPr>
              <w:t xml:space="preserve">regular </w:t>
            </w:r>
            <w:r w:rsidR="00792443" w:rsidRPr="00CD6A23">
              <w:rPr>
                <w:rFonts w:ascii="Arial" w:hAnsi="Arial" w:cs="Arial"/>
                <w:color w:val="165788"/>
              </w:rPr>
              <w:t>review of policies to ensure compliance with current legislation.</w:t>
            </w:r>
          </w:p>
          <w:p w:rsidR="002D4976" w:rsidRPr="00CD6A23" w:rsidRDefault="002D4976" w:rsidP="002D4976">
            <w:pPr>
              <w:ind w:left="360" w:hanging="360"/>
              <w:rPr>
                <w:rFonts w:ascii="Arial" w:hAnsi="Arial" w:cs="Arial"/>
                <w:color w:val="165788"/>
              </w:rPr>
            </w:pPr>
            <w:r w:rsidRPr="00CD6A23">
              <w:rPr>
                <w:rFonts w:ascii="Arial" w:hAnsi="Arial" w:cs="Arial"/>
                <w:color w:val="165788"/>
              </w:rPr>
              <w:t>bdht also</w:t>
            </w:r>
          </w:p>
          <w:p w:rsidR="002D4976" w:rsidRPr="00CD6A23" w:rsidRDefault="002D4976" w:rsidP="00896CA9">
            <w:pPr>
              <w:pStyle w:val="ListParagraph"/>
              <w:numPr>
                <w:ilvl w:val="0"/>
                <w:numId w:val="14"/>
              </w:numPr>
              <w:rPr>
                <w:rFonts w:ascii="Arial" w:hAnsi="Arial" w:cs="Arial"/>
                <w:color w:val="165788"/>
              </w:rPr>
            </w:pPr>
            <w:r w:rsidRPr="00CD6A23">
              <w:rPr>
                <w:rFonts w:ascii="Arial" w:hAnsi="Arial" w:cs="Arial"/>
                <w:color w:val="165788"/>
              </w:rPr>
              <w:t xml:space="preserve">employ the services of Citation to provide legal updates and advice on </w:t>
            </w:r>
            <w:r w:rsidR="005F0002" w:rsidRPr="00CD6A23">
              <w:rPr>
                <w:rFonts w:ascii="Arial" w:hAnsi="Arial" w:cs="Arial"/>
                <w:color w:val="165788"/>
              </w:rPr>
              <w:t>E</w:t>
            </w:r>
            <w:r w:rsidRPr="00CD6A23">
              <w:rPr>
                <w:rFonts w:ascii="Arial" w:hAnsi="Arial" w:cs="Arial"/>
                <w:color w:val="165788"/>
              </w:rPr>
              <w:t>mployment and Health &amp; Safety Law;</w:t>
            </w:r>
          </w:p>
          <w:p w:rsidR="002D4976" w:rsidRPr="00CD6A23" w:rsidRDefault="00CD6A23" w:rsidP="00896CA9">
            <w:pPr>
              <w:pStyle w:val="ListParagraph"/>
              <w:numPr>
                <w:ilvl w:val="0"/>
                <w:numId w:val="14"/>
              </w:numPr>
              <w:rPr>
                <w:rFonts w:ascii="Arial" w:hAnsi="Arial" w:cs="Arial"/>
                <w:color w:val="165788"/>
              </w:rPr>
            </w:pPr>
            <w:r w:rsidRPr="00CD6A23">
              <w:rPr>
                <w:rFonts w:ascii="Arial" w:hAnsi="Arial" w:cs="Arial"/>
                <w:color w:val="165788"/>
              </w:rPr>
              <w:t xml:space="preserve">on-line </w:t>
            </w:r>
            <w:r w:rsidR="002D4976" w:rsidRPr="00CD6A23">
              <w:rPr>
                <w:rFonts w:ascii="Arial" w:hAnsi="Arial" w:cs="Arial"/>
                <w:color w:val="165788"/>
              </w:rPr>
              <w:t>access to Chartered Institute of Housing best practice;</w:t>
            </w:r>
          </w:p>
          <w:p w:rsidR="002D4976" w:rsidRPr="00CD6A23" w:rsidRDefault="002D4976" w:rsidP="00083EDD">
            <w:pPr>
              <w:pStyle w:val="ListParagraph"/>
              <w:numPr>
                <w:ilvl w:val="0"/>
                <w:numId w:val="14"/>
              </w:numPr>
              <w:rPr>
                <w:rFonts w:ascii="Arial" w:hAnsi="Arial" w:cs="Arial"/>
                <w:color w:val="165788"/>
              </w:rPr>
            </w:pPr>
            <w:r w:rsidRPr="00CD6A23">
              <w:rPr>
                <w:rFonts w:ascii="Arial" w:hAnsi="Arial" w:cs="Arial"/>
                <w:color w:val="165788"/>
              </w:rPr>
              <w:t>obtain Planning updates from Tetlow King planning consultants:</w:t>
            </w:r>
          </w:p>
          <w:p w:rsidR="002D4976" w:rsidRPr="00CD6A23" w:rsidRDefault="002D4976" w:rsidP="00083EDD">
            <w:pPr>
              <w:pStyle w:val="ListParagraph"/>
              <w:numPr>
                <w:ilvl w:val="0"/>
                <w:numId w:val="14"/>
              </w:numPr>
              <w:rPr>
                <w:rFonts w:ascii="Arial" w:hAnsi="Arial" w:cs="Arial"/>
                <w:color w:val="165788"/>
              </w:rPr>
            </w:pPr>
            <w:r w:rsidRPr="00CD6A23">
              <w:rPr>
                <w:rFonts w:ascii="Arial" w:hAnsi="Arial" w:cs="Arial"/>
                <w:color w:val="165788"/>
              </w:rPr>
              <w:t>has access to legal updates from Shelter and Lime Legal;</w:t>
            </w:r>
          </w:p>
          <w:p w:rsidR="002D4976" w:rsidRPr="00CD6A23" w:rsidRDefault="002D4976" w:rsidP="00083EDD">
            <w:pPr>
              <w:pStyle w:val="ListParagraph"/>
              <w:numPr>
                <w:ilvl w:val="0"/>
                <w:numId w:val="14"/>
              </w:numPr>
              <w:rPr>
                <w:rFonts w:ascii="Arial" w:hAnsi="Arial" w:cs="Arial"/>
                <w:b/>
                <w:color w:val="165788"/>
              </w:rPr>
            </w:pPr>
            <w:r w:rsidRPr="00CD6A23">
              <w:rPr>
                <w:rFonts w:ascii="Arial" w:hAnsi="Arial" w:cs="Arial"/>
                <w:color w:val="165788"/>
              </w:rPr>
              <w:t xml:space="preserve">employ </w:t>
            </w:r>
            <w:r w:rsidR="00CD6A23" w:rsidRPr="00CD6A23">
              <w:rPr>
                <w:rFonts w:ascii="Arial" w:hAnsi="Arial" w:cs="Arial"/>
                <w:color w:val="165788"/>
              </w:rPr>
              <w:t>Capstickis solicitors</w:t>
            </w:r>
            <w:r w:rsidRPr="00CD6A23">
              <w:rPr>
                <w:rFonts w:ascii="Arial" w:hAnsi="Arial" w:cs="Arial"/>
                <w:color w:val="165788"/>
              </w:rPr>
              <w:t xml:space="preserve"> to provide legal advice in regard to Anti-Social Behaviour and breach of tenancy.</w:t>
            </w:r>
          </w:p>
          <w:p w:rsidR="00F7376F" w:rsidRPr="00CD6A23" w:rsidRDefault="00F7376F" w:rsidP="00792443">
            <w:pPr>
              <w:spacing w:before="100" w:beforeAutospacing="1" w:after="100" w:afterAutospacing="1"/>
              <w:rPr>
                <w:rFonts w:ascii="Arial" w:hAnsi="Arial" w:cs="Arial"/>
                <w:color w:val="165788"/>
                <w:lang w:eastAsia="en-GB"/>
              </w:rPr>
            </w:pPr>
            <w:r w:rsidRPr="00CD6A23">
              <w:rPr>
                <w:rFonts w:ascii="Arial" w:hAnsi="Arial" w:cs="Arial"/>
                <w:color w:val="165788"/>
                <w:lang w:eastAsia="en-GB"/>
              </w:rPr>
              <w:t xml:space="preserve">bdht </w:t>
            </w:r>
            <w:r w:rsidR="00CD6A23" w:rsidRPr="00CD6A23">
              <w:rPr>
                <w:rFonts w:ascii="Arial" w:hAnsi="Arial" w:cs="Arial"/>
                <w:color w:val="165788"/>
                <w:lang w:eastAsia="en-GB"/>
              </w:rPr>
              <w:t>also</w:t>
            </w:r>
            <w:r w:rsidRPr="00CD6A23">
              <w:rPr>
                <w:rFonts w:ascii="Arial" w:hAnsi="Arial" w:cs="Arial"/>
                <w:color w:val="165788"/>
                <w:lang w:eastAsia="en-GB"/>
              </w:rPr>
              <w:t xml:space="preserve"> subscribe to and receive 6 monthly legal updates from Anthony Collins solicitors summarising current relevant and material legal issues. These updates are reported to EMT and Compliance Committee.</w:t>
            </w:r>
          </w:p>
          <w:p w:rsidR="00792443" w:rsidRPr="00CD6A23" w:rsidRDefault="00792443" w:rsidP="00792443">
            <w:pPr>
              <w:spacing w:before="100" w:beforeAutospacing="1" w:after="100" w:afterAutospacing="1"/>
              <w:rPr>
                <w:rFonts w:ascii="Arial" w:hAnsi="Arial" w:cs="Arial"/>
                <w:color w:val="165788"/>
                <w:lang w:eastAsia="en-GB"/>
              </w:rPr>
            </w:pPr>
            <w:r w:rsidRPr="00CD6A23">
              <w:rPr>
                <w:rFonts w:ascii="Arial" w:hAnsi="Arial" w:cs="Arial"/>
                <w:b/>
                <w:color w:val="165788"/>
                <w:lang w:eastAsia="en-GB"/>
              </w:rPr>
              <w:t xml:space="preserve">Comply with their governing documents and all regulatory </w:t>
            </w:r>
            <w:r w:rsidRPr="00CD6A23">
              <w:rPr>
                <w:rFonts w:ascii="Arial" w:hAnsi="Arial" w:cs="Arial"/>
                <w:color w:val="165788"/>
                <w:lang w:eastAsia="en-GB"/>
              </w:rPr>
              <w:t xml:space="preserve">requirements – the Board gain assurance of compliance with </w:t>
            </w:r>
            <w:r w:rsidR="00F7376F" w:rsidRPr="00CD6A23">
              <w:rPr>
                <w:rFonts w:ascii="Arial" w:hAnsi="Arial" w:cs="Arial"/>
                <w:color w:val="165788"/>
                <w:lang w:eastAsia="en-GB"/>
              </w:rPr>
              <w:t>governance arrangements</w:t>
            </w:r>
            <w:r w:rsidRPr="00CD6A23">
              <w:rPr>
                <w:rFonts w:ascii="Arial" w:hAnsi="Arial" w:cs="Arial"/>
                <w:color w:val="165788"/>
                <w:lang w:eastAsia="en-GB"/>
              </w:rPr>
              <w:t xml:space="preserve"> through an annual review of governance undertaken by the </w:t>
            </w:r>
            <w:r w:rsidR="008C73F5">
              <w:rPr>
                <w:rFonts w:ascii="Arial" w:hAnsi="Arial" w:cs="Arial"/>
                <w:color w:val="165788"/>
                <w:lang w:eastAsia="en-GB"/>
              </w:rPr>
              <w:t>Compliance</w:t>
            </w:r>
            <w:r w:rsidRPr="00CD6A23">
              <w:rPr>
                <w:rFonts w:ascii="Arial" w:hAnsi="Arial" w:cs="Arial"/>
                <w:color w:val="165788"/>
                <w:lang w:eastAsia="en-GB"/>
              </w:rPr>
              <w:t xml:space="preserve"> Committee with recommendations to Board and an annual review of compliance with regulatory standards undertaken by the </w:t>
            </w:r>
            <w:r w:rsidR="0054666E" w:rsidRPr="00CD6A23">
              <w:rPr>
                <w:rFonts w:ascii="Arial" w:hAnsi="Arial" w:cs="Arial"/>
                <w:color w:val="165788"/>
                <w:lang w:eastAsia="en-GB"/>
              </w:rPr>
              <w:t xml:space="preserve">Compliance Committee (“economic” standards) and the </w:t>
            </w:r>
            <w:r w:rsidRPr="00CD6A23">
              <w:rPr>
                <w:rFonts w:ascii="Arial" w:hAnsi="Arial" w:cs="Arial"/>
                <w:color w:val="165788"/>
                <w:lang w:eastAsia="en-GB"/>
              </w:rPr>
              <w:t xml:space="preserve">Tenant Panel on behalf of the Performance &amp; Review Committee </w:t>
            </w:r>
            <w:r w:rsidR="0054666E" w:rsidRPr="00CD6A23">
              <w:rPr>
                <w:rFonts w:ascii="Arial" w:hAnsi="Arial" w:cs="Arial"/>
                <w:color w:val="165788"/>
                <w:lang w:eastAsia="en-GB"/>
              </w:rPr>
              <w:t xml:space="preserve">(“consumer” standards) each </w:t>
            </w:r>
            <w:r w:rsidRPr="00CD6A23">
              <w:rPr>
                <w:rFonts w:ascii="Arial" w:hAnsi="Arial" w:cs="Arial"/>
                <w:color w:val="165788"/>
                <w:lang w:eastAsia="en-GB"/>
              </w:rPr>
              <w:t xml:space="preserve">reporting to </w:t>
            </w:r>
            <w:r w:rsidR="00F7376F" w:rsidRPr="00CD6A23">
              <w:rPr>
                <w:rFonts w:ascii="Arial" w:hAnsi="Arial" w:cs="Arial"/>
                <w:color w:val="165788"/>
                <w:lang w:eastAsia="en-GB"/>
              </w:rPr>
              <w:t>B</w:t>
            </w:r>
            <w:r w:rsidRPr="00CD6A23">
              <w:rPr>
                <w:rFonts w:ascii="Arial" w:hAnsi="Arial" w:cs="Arial"/>
                <w:color w:val="165788"/>
                <w:lang w:eastAsia="en-GB"/>
              </w:rPr>
              <w:t>oard for final approval.</w:t>
            </w:r>
          </w:p>
          <w:p w:rsidR="00792443" w:rsidRPr="00E15CCD" w:rsidRDefault="00792443" w:rsidP="00792443">
            <w:pPr>
              <w:spacing w:before="100" w:beforeAutospacing="1" w:after="100" w:afterAutospacing="1"/>
              <w:rPr>
                <w:rFonts w:ascii="Arial" w:hAnsi="Arial" w:cs="Arial"/>
                <w:color w:val="165788"/>
                <w:lang w:eastAsia="en-GB"/>
              </w:rPr>
            </w:pPr>
            <w:r w:rsidRPr="00E15CCD">
              <w:rPr>
                <w:rFonts w:ascii="Arial" w:hAnsi="Arial" w:cs="Arial"/>
                <w:b/>
                <w:color w:val="165788"/>
                <w:lang w:eastAsia="en-GB"/>
              </w:rPr>
              <w:t xml:space="preserve">Are accountable to tenants, the regulator and relevant stakeholders </w:t>
            </w:r>
            <w:r w:rsidRPr="00E15CCD">
              <w:rPr>
                <w:rFonts w:ascii="Arial" w:hAnsi="Arial" w:cs="Arial"/>
                <w:color w:val="165788"/>
                <w:lang w:eastAsia="en-GB"/>
              </w:rPr>
              <w:t>– bdht are accountable to:-</w:t>
            </w:r>
          </w:p>
          <w:p w:rsidR="00792443" w:rsidRPr="00E15CCD" w:rsidRDefault="00B629CA" w:rsidP="00896CA9">
            <w:pPr>
              <w:pStyle w:val="ListParagraph"/>
              <w:numPr>
                <w:ilvl w:val="0"/>
                <w:numId w:val="14"/>
              </w:numPr>
              <w:spacing w:before="100" w:beforeAutospacing="1" w:after="100" w:afterAutospacing="1"/>
              <w:rPr>
                <w:rFonts w:ascii="Arial" w:hAnsi="Arial" w:cs="Arial"/>
                <w:color w:val="165788"/>
                <w:lang w:eastAsia="en-GB"/>
              </w:rPr>
            </w:pPr>
            <w:r w:rsidRPr="00E15CCD">
              <w:rPr>
                <w:rFonts w:ascii="Arial" w:hAnsi="Arial" w:cs="Arial"/>
                <w:color w:val="165788"/>
                <w:lang w:eastAsia="en-GB"/>
              </w:rPr>
              <w:t>T</w:t>
            </w:r>
            <w:r w:rsidR="00792443" w:rsidRPr="00E15CCD">
              <w:rPr>
                <w:rFonts w:ascii="Arial" w:hAnsi="Arial" w:cs="Arial"/>
                <w:color w:val="165788"/>
                <w:lang w:eastAsia="en-GB"/>
              </w:rPr>
              <w:t>enants – directly through the work of the Tenant Panel who report to the PRC and if necessary directly to the Board.</w:t>
            </w:r>
          </w:p>
          <w:p w:rsidR="00792443" w:rsidRPr="00E15CCD" w:rsidRDefault="00B629CA" w:rsidP="00896CA9">
            <w:pPr>
              <w:pStyle w:val="ListParagraph"/>
              <w:numPr>
                <w:ilvl w:val="0"/>
                <w:numId w:val="14"/>
              </w:numPr>
              <w:spacing w:before="100" w:beforeAutospacing="1" w:after="100" w:afterAutospacing="1"/>
              <w:rPr>
                <w:rFonts w:ascii="Arial" w:hAnsi="Arial" w:cs="Arial"/>
                <w:color w:val="165788"/>
                <w:lang w:eastAsia="en-GB"/>
              </w:rPr>
            </w:pPr>
            <w:r w:rsidRPr="00E15CCD">
              <w:rPr>
                <w:rFonts w:ascii="Arial" w:hAnsi="Arial" w:cs="Arial"/>
                <w:color w:val="165788"/>
                <w:lang w:eastAsia="en-GB"/>
              </w:rPr>
              <w:t xml:space="preserve">The </w:t>
            </w:r>
            <w:r w:rsidR="00792443" w:rsidRPr="00E15CCD">
              <w:rPr>
                <w:rFonts w:ascii="Arial" w:hAnsi="Arial" w:cs="Arial"/>
                <w:color w:val="165788"/>
                <w:lang w:eastAsia="en-GB"/>
              </w:rPr>
              <w:t xml:space="preserve">Regulator – through timely submission of data </w:t>
            </w:r>
            <w:r w:rsidRPr="00E15CCD">
              <w:rPr>
                <w:rFonts w:ascii="Arial" w:hAnsi="Arial" w:cs="Arial"/>
                <w:color w:val="165788"/>
                <w:lang w:eastAsia="en-GB"/>
              </w:rPr>
              <w:t>and information;</w:t>
            </w:r>
          </w:p>
          <w:p w:rsidR="00B629CA" w:rsidRDefault="00B629CA" w:rsidP="00896CA9">
            <w:pPr>
              <w:pStyle w:val="ListParagraph"/>
              <w:numPr>
                <w:ilvl w:val="0"/>
                <w:numId w:val="14"/>
              </w:numPr>
              <w:spacing w:before="100" w:beforeAutospacing="1" w:after="100" w:afterAutospacing="1"/>
              <w:rPr>
                <w:rFonts w:ascii="Arial" w:hAnsi="Arial" w:cs="Arial"/>
                <w:color w:val="165788"/>
                <w:lang w:eastAsia="en-GB"/>
              </w:rPr>
            </w:pPr>
            <w:r w:rsidRPr="00E15CCD">
              <w:rPr>
                <w:rFonts w:ascii="Arial" w:hAnsi="Arial" w:cs="Arial"/>
                <w:color w:val="165788"/>
                <w:lang w:eastAsia="en-GB"/>
              </w:rPr>
              <w:t xml:space="preserve">Relevant stakeholders – these are principally local authorities, in addition to Bromsgrove District Council </w:t>
            </w:r>
            <w:r w:rsidR="00F7376F" w:rsidRPr="00E568AB">
              <w:rPr>
                <w:rFonts w:ascii="Arial" w:hAnsi="Arial" w:cs="Arial"/>
                <w:color w:val="165788"/>
                <w:lang w:eastAsia="en-GB"/>
              </w:rPr>
              <w:t xml:space="preserve">currently </w:t>
            </w:r>
            <w:r w:rsidR="00E568AB" w:rsidRPr="00E568AB">
              <w:rPr>
                <w:rFonts w:ascii="Arial" w:hAnsi="Arial" w:cs="Arial"/>
                <w:color w:val="165788"/>
                <w:lang w:eastAsia="en-GB"/>
              </w:rPr>
              <w:t>(as at 31</w:t>
            </w:r>
            <w:r w:rsidR="00E568AB" w:rsidRPr="00E568AB">
              <w:rPr>
                <w:rFonts w:ascii="Arial" w:hAnsi="Arial" w:cs="Arial"/>
                <w:color w:val="165788"/>
                <w:vertAlign w:val="superscript"/>
                <w:lang w:eastAsia="en-GB"/>
              </w:rPr>
              <w:t>st</w:t>
            </w:r>
            <w:r w:rsidR="00E568AB" w:rsidRPr="00E568AB">
              <w:rPr>
                <w:rFonts w:ascii="Arial" w:hAnsi="Arial" w:cs="Arial"/>
                <w:color w:val="165788"/>
                <w:lang w:eastAsia="en-GB"/>
              </w:rPr>
              <w:t xml:space="preserve"> march 2018) </w:t>
            </w:r>
            <w:r w:rsidRPr="00E568AB">
              <w:rPr>
                <w:rFonts w:ascii="Arial" w:hAnsi="Arial" w:cs="Arial"/>
                <w:color w:val="165788"/>
                <w:lang w:eastAsia="en-GB"/>
              </w:rPr>
              <w:t xml:space="preserve">retaining a </w:t>
            </w:r>
            <w:r w:rsidR="00CA240D" w:rsidRPr="00E568AB">
              <w:rPr>
                <w:rFonts w:ascii="Arial" w:hAnsi="Arial" w:cs="Arial"/>
                <w:color w:val="165788"/>
                <w:lang w:eastAsia="en-GB"/>
              </w:rPr>
              <w:t xml:space="preserve">golden </w:t>
            </w:r>
            <w:r w:rsidRPr="00E568AB">
              <w:rPr>
                <w:rFonts w:ascii="Arial" w:hAnsi="Arial" w:cs="Arial"/>
                <w:color w:val="165788"/>
                <w:lang w:eastAsia="en-GB"/>
              </w:rPr>
              <w:t>share in bdht</w:t>
            </w:r>
            <w:r w:rsidRPr="00E15CCD">
              <w:rPr>
                <w:rFonts w:ascii="Arial" w:hAnsi="Arial" w:cs="Arial"/>
                <w:color w:val="165788"/>
                <w:lang w:eastAsia="en-GB"/>
              </w:rPr>
              <w:t xml:space="preserve">, bdht remains accountable to these stakeholders through partnership working in district/county/regional partnerships.  </w:t>
            </w:r>
            <w:r w:rsidR="00F7376F" w:rsidRPr="00E15CCD">
              <w:rPr>
                <w:rFonts w:ascii="Arial" w:hAnsi="Arial" w:cs="Arial"/>
                <w:color w:val="165788"/>
                <w:lang w:eastAsia="en-GB"/>
              </w:rPr>
              <w:t>(Note: The Government has signalled, as part of the de-regulation of the social housing sector, the dilution of local authority rights to maintain “golden shares” in Private Registered Providers</w:t>
            </w:r>
            <w:r w:rsidR="00B77A89" w:rsidRPr="00E15CCD">
              <w:rPr>
                <w:rFonts w:ascii="Arial" w:hAnsi="Arial" w:cs="Arial"/>
                <w:color w:val="165788"/>
                <w:lang w:eastAsia="en-GB"/>
              </w:rPr>
              <w:t>.</w:t>
            </w:r>
            <w:r w:rsidR="00F7376F" w:rsidRPr="00E15CCD">
              <w:rPr>
                <w:rFonts w:ascii="Arial" w:hAnsi="Arial" w:cs="Arial"/>
                <w:color w:val="165788"/>
                <w:lang w:eastAsia="en-GB"/>
              </w:rPr>
              <w:t xml:space="preserve">)  </w:t>
            </w:r>
          </w:p>
          <w:p w:rsidR="00E15CCD" w:rsidRPr="005C31EE" w:rsidRDefault="00E15CCD" w:rsidP="00E15CCD">
            <w:pPr>
              <w:rPr>
                <w:rFonts w:ascii="Arial" w:hAnsi="Arial" w:cs="Arial"/>
                <w:color w:val="165788"/>
              </w:rPr>
            </w:pPr>
            <w:r w:rsidRPr="005C31EE">
              <w:rPr>
                <w:rFonts w:ascii="Arial" w:hAnsi="Arial" w:cs="Arial"/>
                <w:color w:val="165788"/>
              </w:rPr>
              <w:t xml:space="preserve">As part of year-end </w:t>
            </w:r>
            <w:r>
              <w:rPr>
                <w:rFonts w:ascii="Arial" w:hAnsi="Arial" w:cs="Arial"/>
                <w:color w:val="165788"/>
              </w:rPr>
              <w:t xml:space="preserve">(2017/18) </w:t>
            </w:r>
            <w:r w:rsidRPr="005C31EE">
              <w:rPr>
                <w:rFonts w:ascii="Arial" w:hAnsi="Arial" w:cs="Arial"/>
                <w:color w:val="165788"/>
              </w:rPr>
              <w:t xml:space="preserve">validation checks an issue was identified in late March in respect of the gas servicing position for 27 properties which had exceeded the gas servicing anniversary due date. </w:t>
            </w:r>
          </w:p>
          <w:p w:rsidR="00E15CCD" w:rsidRPr="00702234" w:rsidRDefault="00E15CCD" w:rsidP="00E15CCD">
            <w:pPr>
              <w:rPr>
                <w:rFonts w:ascii="Arial" w:hAnsi="Arial" w:cs="Arial"/>
              </w:rPr>
            </w:pPr>
          </w:p>
          <w:p w:rsidR="00E15CCD" w:rsidRPr="00E15CCD" w:rsidRDefault="00E15CCD" w:rsidP="00E15CCD">
            <w:pPr>
              <w:rPr>
                <w:rFonts w:ascii="Arial" w:hAnsi="Arial" w:cs="Arial"/>
                <w:color w:val="165788"/>
              </w:rPr>
            </w:pPr>
            <w:r w:rsidRPr="005C31EE">
              <w:rPr>
                <w:rFonts w:ascii="Arial" w:hAnsi="Arial" w:cs="Arial"/>
                <w:color w:val="165788"/>
              </w:rPr>
              <w:t>The matter was reported for full discussion at the Compliance Committee on 18</w:t>
            </w:r>
            <w:r w:rsidRPr="005C31EE">
              <w:rPr>
                <w:rFonts w:ascii="Arial" w:hAnsi="Arial" w:cs="Arial"/>
                <w:color w:val="165788"/>
                <w:vertAlign w:val="superscript"/>
              </w:rPr>
              <w:t>th</w:t>
            </w:r>
            <w:r w:rsidRPr="005C31EE">
              <w:rPr>
                <w:rFonts w:ascii="Arial" w:hAnsi="Arial" w:cs="Arial"/>
                <w:color w:val="165788"/>
              </w:rPr>
              <w:t xml:space="preserve"> April 2018 with the internal auditor present. </w:t>
            </w:r>
            <w:r w:rsidRPr="007B474F">
              <w:rPr>
                <w:rFonts w:ascii="Arial" w:hAnsi="Arial" w:cs="Arial"/>
                <w:color w:val="165788"/>
              </w:rPr>
              <w:t>The Regulator was informed together with details of the agreed action plan to mitigate against any potential repetition. The matter w</w:t>
            </w:r>
            <w:r>
              <w:rPr>
                <w:rFonts w:ascii="Arial" w:hAnsi="Arial" w:cs="Arial"/>
                <w:color w:val="165788"/>
              </w:rPr>
              <w:t xml:space="preserve">as also reported to the </w:t>
            </w:r>
            <w:r w:rsidRPr="00E15CCD">
              <w:rPr>
                <w:rFonts w:ascii="Arial" w:hAnsi="Arial" w:cs="Arial"/>
                <w:color w:val="165788"/>
              </w:rPr>
              <w:t>Tenant Panel</w:t>
            </w:r>
            <w:r>
              <w:rPr>
                <w:rFonts w:ascii="Arial" w:hAnsi="Arial" w:cs="Arial"/>
                <w:color w:val="165788"/>
              </w:rPr>
              <w:t xml:space="preserve"> on the 2</w:t>
            </w:r>
            <w:r w:rsidRPr="00E15CCD">
              <w:rPr>
                <w:rFonts w:ascii="Arial" w:hAnsi="Arial" w:cs="Arial"/>
                <w:color w:val="165788"/>
                <w:vertAlign w:val="superscript"/>
              </w:rPr>
              <w:t>nd</w:t>
            </w:r>
            <w:r>
              <w:rPr>
                <w:rFonts w:ascii="Arial" w:hAnsi="Arial" w:cs="Arial"/>
                <w:color w:val="165788"/>
              </w:rPr>
              <w:t xml:space="preserve"> May 2018.</w:t>
            </w:r>
          </w:p>
          <w:p w:rsidR="00E15CCD" w:rsidRPr="00E15CCD" w:rsidRDefault="00E15CCD" w:rsidP="00E15CCD">
            <w:pPr>
              <w:contextualSpacing/>
              <w:rPr>
                <w:rFonts w:ascii="Arial" w:hAnsi="Arial" w:cs="Arial"/>
                <w:color w:val="165788"/>
              </w:rPr>
            </w:pPr>
          </w:p>
          <w:p w:rsidR="00E15CCD" w:rsidRPr="005C31EE" w:rsidRDefault="00E15CCD" w:rsidP="00E15CCD">
            <w:pPr>
              <w:contextualSpacing/>
              <w:rPr>
                <w:rFonts w:ascii="Arial" w:hAnsi="Arial" w:cs="Arial"/>
                <w:color w:val="165788"/>
              </w:rPr>
            </w:pPr>
            <w:r w:rsidRPr="005C31EE">
              <w:rPr>
                <w:rFonts w:ascii="Arial" w:hAnsi="Arial" w:cs="Arial"/>
                <w:color w:val="165788"/>
              </w:rPr>
              <w:t xml:space="preserve">The Regulator concluded that </w:t>
            </w:r>
          </w:p>
          <w:p w:rsidR="00E15CCD" w:rsidRPr="005C31EE" w:rsidRDefault="00E15CCD" w:rsidP="00E15CCD">
            <w:pPr>
              <w:contextualSpacing/>
              <w:rPr>
                <w:rFonts w:ascii="Arial" w:hAnsi="Arial" w:cs="Arial"/>
                <w:i/>
                <w:color w:val="165788"/>
              </w:rPr>
            </w:pPr>
            <w:r w:rsidRPr="005C31EE">
              <w:rPr>
                <w:rFonts w:ascii="Arial" w:hAnsi="Arial" w:cs="Arial"/>
                <w:i/>
                <w:color w:val="165788"/>
              </w:rPr>
              <w:t>“….under the Home standard which says that registered providers shall meet all applicable statutory requirements that provide for the health and safety of occupants in their homes. We noted that the number of properties overdue was relatively small, and the durations overdue were relatively short. Taking into account BDHT’s prompt response and the measures set out to prevent a recurrence, we have concluded that it is not proportionate to find a breach of the Home standard and we will not be taking further action”.</w:t>
            </w:r>
          </w:p>
          <w:p w:rsidR="00F6488B" w:rsidRPr="00E15CCD" w:rsidRDefault="00F6488B" w:rsidP="00F6488B">
            <w:pPr>
              <w:spacing w:before="100" w:beforeAutospacing="1" w:after="100" w:afterAutospacing="1"/>
              <w:rPr>
                <w:rFonts w:ascii="Arial" w:hAnsi="Arial" w:cs="Arial"/>
                <w:b/>
                <w:color w:val="165788"/>
                <w:lang w:eastAsia="en-GB"/>
              </w:rPr>
            </w:pPr>
            <w:r w:rsidRPr="00E15CCD">
              <w:rPr>
                <w:rFonts w:ascii="Arial" w:hAnsi="Arial" w:cs="Arial"/>
                <w:b/>
                <w:color w:val="165788"/>
                <w:lang w:eastAsia="en-GB"/>
              </w:rPr>
              <w:t>Safeguard taxpayers’ interests and the reputation of the sector – bdht achieve these aims through:-</w:t>
            </w:r>
          </w:p>
          <w:p w:rsidR="00792443" w:rsidRPr="00E15CCD" w:rsidRDefault="00F6488B" w:rsidP="00896CA9">
            <w:pPr>
              <w:pStyle w:val="ListParagraph"/>
              <w:numPr>
                <w:ilvl w:val="0"/>
                <w:numId w:val="14"/>
              </w:numPr>
              <w:spacing w:before="100" w:beforeAutospacing="1" w:after="100" w:afterAutospacing="1"/>
              <w:rPr>
                <w:rFonts w:ascii="Arial" w:hAnsi="Arial" w:cs="Arial"/>
                <w:color w:val="165788"/>
                <w:lang w:eastAsia="en-GB"/>
              </w:rPr>
            </w:pPr>
            <w:r w:rsidRPr="00E15CCD">
              <w:rPr>
                <w:rFonts w:ascii="Arial" w:hAnsi="Arial" w:cs="Arial"/>
                <w:color w:val="165788"/>
                <w:lang w:eastAsia="en-GB"/>
              </w:rPr>
              <w:t>A rigorous approach to achieving value for money as set out in an annual value for money statement meeting regulatory requirements;</w:t>
            </w:r>
          </w:p>
          <w:p w:rsidR="00F6488B" w:rsidRPr="00E15CCD" w:rsidRDefault="00F6488B" w:rsidP="00896CA9">
            <w:pPr>
              <w:pStyle w:val="ListParagraph"/>
              <w:numPr>
                <w:ilvl w:val="0"/>
                <w:numId w:val="14"/>
              </w:numPr>
              <w:spacing w:before="100" w:beforeAutospacing="1" w:after="100" w:afterAutospacing="1"/>
              <w:rPr>
                <w:rFonts w:ascii="Arial" w:hAnsi="Arial" w:cs="Arial"/>
                <w:color w:val="165788"/>
                <w:lang w:eastAsia="en-GB"/>
              </w:rPr>
            </w:pPr>
            <w:r w:rsidRPr="00E15CCD">
              <w:rPr>
                <w:rFonts w:ascii="Arial" w:hAnsi="Arial" w:cs="Arial"/>
                <w:color w:val="165788"/>
                <w:lang w:eastAsia="en-GB"/>
              </w:rPr>
              <w:t>Robust arrangements for internal and external audit;</w:t>
            </w:r>
          </w:p>
          <w:p w:rsidR="00F6488B" w:rsidRPr="00E15CCD" w:rsidRDefault="00F6488B" w:rsidP="00896CA9">
            <w:pPr>
              <w:pStyle w:val="ListParagraph"/>
              <w:numPr>
                <w:ilvl w:val="0"/>
                <w:numId w:val="14"/>
              </w:numPr>
              <w:spacing w:before="100" w:beforeAutospacing="1" w:after="100" w:afterAutospacing="1"/>
              <w:rPr>
                <w:rFonts w:ascii="Arial" w:hAnsi="Arial" w:cs="Arial"/>
                <w:color w:val="165788"/>
                <w:lang w:eastAsia="en-GB"/>
              </w:rPr>
            </w:pPr>
            <w:r w:rsidRPr="00E15CCD">
              <w:rPr>
                <w:rFonts w:ascii="Arial" w:hAnsi="Arial" w:cs="Arial"/>
                <w:color w:val="165788"/>
                <w:lang w:eastAsia="en-GB"/>
              </w:rPr>
              <w:t>Adherence to a strong set of organisational values;</w:t>
            </w:r>
          </w:p>
          <w:p w:rsidR="00F6488B" w:rsidRPr="00E15CCD" w:rsidRDefault="00F6488B" w:rsidP="00896CA9">
            <w:pPr>
              <w:pStyle w:val="ListParagraph"/>
              <w:numPr>
                <w:ilvl w:val="0"/>
                <w:numId w:val="14"/>
              </w:numPr>
              <w:spacing w:before="100" w:beforeAutospacing="1" w:after="100" w:afterAutospacing="1"/>
              <w:rPr>
                <w:rFonts w:ascii="Arial" w:hAnsi="Arial" w:cs="Arial"/>
                <w:color w:val="165788"/>
                <w:lang w:eastAsia="en-GB"/>
              </w:rPr>
            </w:pPr>
            <w:r w:rsidRPr="00E15CCD">
              <w:rPr>
                <w:rFonts w:ascii="Arial" w:hAnsi="Arial" w:cs="Arial"/>
                <w:color w:val="165788"/>
                <w:lang w:eastAsia="en-GB"/>
              </w:rPr>
              <w:t>Adoption and compliance with best practice in governance (NHF Code of Governance &amp; Code of Conduct)</w:t>
            </w:r>
          </w:p>
          <w:p w:rsidR="0074519F" w:rsidRPr="00E15CCD" w:rsidRDefault="00F6488B" w:rsidP="0054666E">
            <w:pPr>
              <w:spacing w:before="100" w:beforeAutospacing="1" w:after="100" w:afterAutospacing="1"/>
              <w:rPr>
                <w:rFonts w:ascii="Arial" w:hAnsi="Arial" w:cs="Arial"/>
                <w:color w:val="165788"/>
                <w:lang w:eastAsia="en-GB"/>
              </w:rPr>
            </w:pPr>
            <w:r w:rsidRPr="00E15CCD">
              <w:rPr>
                <w:rFonts w:ascii="Arial" w:hAnsi="Arial" w:cs="Arial"/>
                <w:b/>
                <w:color w:val="165788"/>
                <w:lang w:eastAsia="en-GB"/>
              </w:rPr>
              <w:t xml:space="preserve">Have an effective risk management and internal controls assurance framework </w:t>
            </w:r>
            <w:r w:rsidRPr="00E15CCD">
              <w:rPr>
                <w:rFonts w:ascii="Arial" w:hAnsi="Arial" w:cs="Arial"/>
                <w:color w:val="165788"/>
                <w:lang w:eastAsia="en-GB"/>
              </w:rPr>
              <w:t>– bdht has a comprehensive risk register which is reviewed annually by the Compliance Committee. On a quarterly basis the Compliance Committee review high level and emerging risks.</w:t>
            </w:r>
            <w:r w:rsidR="00A847CD" w:rsidRPr="00E15CCD">
              <w:rPr>
                <w:rFonts w:ascii="Arial" w:hAnsi="Arial" w:cs="Arial"/>
                <w:color w:val="165788"/>
                <w:lang w:eastAsia="en-GB"/>
              </w:rPr>
              <w:t xml:space="preserve"> On a monthly basis all Board members receive a Strategic Balanced Scorecard setting out performance against key indicators aligned to high level business risks.</w:t>
            </w:r>
          </w:p>
          <w:p w:rsidR="00B77A89" w:rsidRPr="00E15CCD" w:rsidRDefault="00B77A89" w:rsidP="0054666E">
            <w:pPr>
              <w:spacing w:before="100" w:beforeAutospacing="1" w:after="100" w:afterAutospacing="1"/>
              <w:rPr>
                <w:rFonts w:ascii="Arial" w:hAnsi="Arial" w:cs="Arial"/>
                <w:color w:val="165788"/>
                <w:lang w:eastAsia="en-GB"/>
              </w:rPr>
            </w:pPr>
            <w:r w:rsidRPr="00E15CCD">
              <w:rPr>
                <w:rFonts w:ascii="Arial" w:hAnsi="Arial" w:cs="Arial"/>
                <w:color w:val="165788"/>
                <w:lang w:eastAsia="en-GB"/>
              </w:rPr>
              <w:t xml:space="preserve">At the Board Strategic Event in November 2016 the Board with independent advice from Lee Cartwright (Mazars) developed the bdht strategic risk appetite </w:t>
            </w:r>
            <w:r w:rsidRPr="00E15CCD">
              <w:rPr>
                <w:rFonts w:ascii="Arial" w:hAnsi="Arial" w:cs="Arial"/>
                <w:color w:val="165788"/>
              </w:rPr>
              <w:t>with a clear understanding of risk tolerances acceptable to bdht.</w:t>
            </w:r>
            <w:r w:rsidR="00E15CCD" w:rsidRPr="00E15CCD">
              <w:rPr>
                <w:rFonts w:ascii="Arial" w:hAnsi="Arial" w:cs="Arial"/>
                <w:color w:val="165788"/>
              </w:rPr>
              <w:t xml:space="preserve"> This is reviewed annually by Board in March each year as part of the Business Planning review.</w:t>
            </w:r>
          </w:p>
          <w:p w:rsidR="0054666E" w:rsidRPr="00E15CCD" w:rsidRDefault="0054666E" w:rsidP="0054666E">
            <w:pPr>
              <w:spacing w:before="100" w:beforeAutospacing="1" w:after="100" w:afterAutospacing="1"/>
              <w:rPr>
                <w:rFonts w:ascii="Arial" w:hAnsi="Arial" w:cs="Arial"/>
                <w:color w:val="165788"/>
                <w:lang w:eastAsia="en-GB"/>
              </w:rPr>
            </w:pPr>
            <w:r w:rsidRPr="00E15CCD">
              <w:rPr>
                <w:rFonts w:ascii="Arial" w:hAnsi="Arial" w:cs="Arial"/>
                <w:b/>
                <w:color w:val="165788"/>
                <w:lang w:eastAsia="en-GB"/>
              </w:rPr>
              <w:t xml:space="preserve">Protect social housing assets </w:t>
            </w:r>
            <w:r w:rsidRPr="00E15CCD">
              <w:rPr>
                <w:rFonts w:ascii="Arial" w:hAnsi="Arial" w:cs="Arial"/>
                <w:color w:val="165788"/>
                <w:lang w:eastAsia="en-GB"/>
              </w:rPr>
              <w:t>– bdht has a robust Business Plan, subjected to detailed stress testing and reviewed annually resulting in a financially viable business, generating surpluses and thus able to protect and develop social housing assets.</w:t>
            </w:r>
          </w:p>
          <w:p w:rsidR="00E636AE" w:rsidRPr="007D187B" w:rsidRDefault="0054666E" w:rsidP="000F6E73">
            <w:pPr>
              <w:rPr>
                <w:rFonts w:ascii="Arial" w:hAnsi="Arial" w:cs="Arial"/>
                <w:color w:val="42145F"/>
              </w:rPr>
            </w:pPr>
            <w:r w:rsidRPr="000B42F0">
              <w:rPr>
                <w:rFonts w:ascii="Arial" w:hAnsi="Arial" w:cs="Arial"/>
                <w:color w:val="165788"/>
              </w:rPr>
              <w:t xml:space="preserve">During 2015 bdht </w:t>
            </w:r>
            <w:r w:rsidR="00E636AE" w:rsidRPr="000B42F0">
              <w:rPr>
                <w:rFonts w:ascii="Arial" w:hAnsi="Arial" w:cs="Arial"/>
                <w:color w:val="165788"/>
              </w:rPr>
              <w:t xml:space="preserve">Board </w:t>
            </w:r>
            <w:r w:rsidRPr="000B42F0">
              <w:rPr>
                <w:rFonts w:ascii="Arial" w:hAnsi="Arial" w:cs="Arial"/>
                <w:color w:val="165788"/>
              </w:rPr>
              <w:t xml:space="preserve">established </w:t>
            </w:r>
            <w:r w:rsidR="00B77A89" w:rsidRPr="000B42F0">
              <w:rPr>
                <w:rFonts w:ascii="Arial" w:hAnsi="Arial" w:cs="Arial"/>
                <w:color w:val="165788"/>
              </w:rPr>
              <w:t>a robust</w:t>
            </w:r>
            <w:r w:rsidRPr="000B42F0">
              <w:rPr>
                <w:rFonts w:ascii="Arial" w:hAnsi="Arial" w:cs="Arial"/>
                <w:color w:val="165788"/>
              </w:rPr>
              <w:t xml:space="preserve"> approach to stress testing</w:t>
            </w:r>
            <w:r w:rsidR="000C0770" w:rsidRPr="000B42F0">
              <w:rPr>
                <w:rFonts w:ascii="Arial" w:hAnsi="Arial" w:cs="Arial"/>
                <w:color w:val="165788"/>
              </w:rPr>
              <w:t xml:space="preserve"> the Business Plan</w:t>
            </w:r>
            <w:r w:rsidR="00B77A89" w:rsidRPr="000B42F0">
              <w:rPr>
                <w:rFonts w:ascii="Arial" w:hAnsi="Arial" w:cs="Arial"/>
                <w:color w:val="165788"/>
              </w:rPr>
              <w:t xml:space="preserve"> </w:t>
            </w:r>
            <w:r w:rsidR="00E636AE" w:rsidRPr="000B42F0">
              <w:rPr>
                <w:rFonts w:ascii="Arial" w:hAnsi="Arial" w:cs="Arial"/>
                <w:color w:val="165788"/>
              </w:rPr>
              <w:t xml:space="preserve">(subjected to independent validation undertaken by Beever &amp; Struthers) </w:t>
            </w:r>
            <w:r w:rsidR="00B77A89" w:rsidRPr="000B42F0">
              <w:rPr>
                <w:rFonts w:ascii="Arial" w:hAnsi="Arial" w:cs="Arial"/>
                <w:color w:val="165788"/>
              </w:rPr>
              <w:t xml:space="preserve">with a </w:t>
            </w:r>
            <w:r w:rsidR="00686780" w:rsidRPr="000B42F0">
              <w:rPr>
                <w:rFonts w:ascii="Arial" w:hAnsi="Arial" w:cs="Arial"/>
                <w:color w:val="165788"/>
              </w:rPr>
              <w:t>“p</w:t>
            </w:r>
            <w:r w:rsidRPr="000B42F0">
              <w:rPr>
                <w:rFonts w:ascii="Arial" w:hAnsi="Arial" w:cs="Arial"/>
                <w:color w:val="165788"/>
              </w:rPr>
              <w:t xml:space="preserve">erfect </w:t>
            </w:r>
            <w:r w:rsidR="00686780" w:rsidRPr="000B42F0">
              <w:rPr>
                <w:rFonts w:ascii="Arial" w:hAnsi="Arial" w:cs="Arial"/>
                <w:color w:val="165788"/>
              </w:rPr>
              <w:t>s</w:t>
            </w:r>
            <w:r w:rsidRPr="000B42F0">
              <w:rPr>
                <w:rFonts w:ascii="Arial" w:hAnsi="Arial" w:cs="Arial"/>
                <w:color w:val="165788"/>
              </w:rPr>
              <w:t>torm</w:t>
            </w:r>
            <w:r w:rsidR="00686780" w:rsidRPr="000B42F0">
              <w:rPr>
                <w:rFonts w:ascii="Arial" w:hAnsi="Arial" w:cs="Arial"/>
                <w:color w:val="165788"/>
              </w:rPr>
              <w:t>”</w:t>
            </w:r>
            <w:r w:rsidRPr="000B42F0">
              <w:rPr>
                <w:rFonts w:ascii="Arial" w:hAnsi="Arial" w:cs="Arial"/>
                <w:color w:val="165788"/>
              </w:rPr>
              <w:t xml:space="preserve"> </w:t>
            </w:r>
            <w:r w:rsidR="00686780" w:rsidRPr="000B42F0">
              <w:rPr>
                <w:rFonts w:ascii="Arial" w:hAnsi="Arial" w:cs="Arial"/>
                <w:color w:val="165788"/>
              </w:rPr>
              <w:t>approved by Board in March 2016.</w:t>
            </w:r>
            <w:r w:rsidR="000C0770" w:rsidRPr="000B42F0">
              <w:rPr>
                <w:rFonts w:ascii="Arial" w:hAnsi="Arial" w:cs="Arial"/>
                <w:color w:val="165788"/>
              </w:rPr>
              <w:t xml:space="preserve"> </w:t>
            </w:r>
            <w:r w:rsidR="00E636AE" w:rsidRPr="000B42F0">
              <w:rPr>
                <w:rFonts w:ascii="Arial" w:hAnsi="Arial" w:cs="Arial"/>
                <w:color w:val="165788"/>
              </w:rPr>
              <w:t>Th</w:t>
            </w:r>
            <w:r w:rsidR="00E15CCD" w:rsidRPr="000B42F0">
              <w:rPr>
                <w:rFonts w:ascii="Arial" w:hAnsi="Arial" w:cs="Arial"/>
                <w:color w:val="165788"/>
              </w:rPr>
              <w:t>e</w:t>
            </w:r>
            <w:r w:rsidR="00E636AE" w:rsidRPr="000B42F0">
              <w:rPr>
                <w:rFonts w:ascii="Arial" w:hAnsi="Arial" w:cs="Arial"/>
                <w:color w:val="165788"/>
              </w:rPr>
              <w:t xml:space="preserve"> “perfect storm” </w:t>
            </w:r>
            <w:r w:rsidR="00E15CCD" w:rsidRPr="000B42F0">
              <w:rPr>
                <w:rFonts w:ascii="Arial" w:hAnsi="Arial" w:cs="Arial"/>
                <w:color w:val="165788"/>
              </w:rPr>
              <w:t>is reviewed annually and</w:t>
            </w:r>
            <w:r w:rsidR="00E636AE" w:rsidRPr="000B42F0">
              <w:rPr>
                <w:rFonts w:ascii="Arial" w:hAnsi="Arial" w:cs="Arial"/>
                <w:color w:val="165788"/>
              </w:rPr>
              <w:t xml:space="preserve"> used to test the Business Plan</w:t>
            </w:r>
            <w:r w:rsidR="000B42F0">
              <w:rPr>
                <w:rFonts w:ascii="Arial" w:hAnsi="Arial" w:cs="Arial"/>
                <w:color w:val="009B3A"/>
              </w:rPr>
              <w:t xml:space="preserve"> </w:t>
            </w:r>
            <w:r w:rsidR="000B42F0" w:rsidRPr="000B42F0">
              <w:rPr>
                <w:rFonts w:ascii="Arial" w:hAnsi="Arial" w:cs="Arial"/>
                <w:color w:val="165788"/>
              </w:rPr>
              <w:t>each year</w:t>
            </w:r>
            <w:r w:rsidR="000F6E73">
              <w:rPr>
                <w:rFonts w:ascii="Arial" w:hAnsi="Arial" w:cs="Arial"/>
                <w:color w:val="165788"/>
              </w:rPr>
              <w:t xml:space="preserve"> and inform the accompanying Mitigation Action Plan. </w:t>
            </w:r>
          </w:p>
        </w:tc>
      </w:tr>
      <w:tr w:rsidR="00B15C78" w:rsidRPr="00B15C78" w:rsidTr="000F6E73">
        <w:trPr>
          <w:trHeight w:val="567"/>
        </w:trPr>
        <w:tc>
          <w:tcPr>
            <w:tcW w:w="14029" w:type="dxa"/>
            <w:gridSpan w:val="4"/>
            <w:shd w:val="clear" w:color="auto" w:fill="165788"/>
            <w:vAlign w:val="center"/>
          </w:tcPr>
          <w:p w:rsidR="00B15C78" w:rsidRPr="00C2618A" w:rsidRDefault="00B15C78" w:rsidP="00B15C78">
            <w:pPr>
              <w:rPr>
                <w:rFonts w:ascii="Arial" w:hAnsi="Arial" w:cs="Arial"/>
                <w:b/>
                <w:color w:val="FFFFFF" w:themeColor="background1"/>
              </w:rPr>
            </w:pPr>
            <w:r w:rsidRPr="00C2618A">
              <w:rPr>
                <w:rFonts w:ascii="Arial" w:hAnsi="Arial" w:cs="Arial"/>
                <w:b/>
                <w:color w:val="FFFFFF" w:themeColor="background1"/>
              </w:rPr>
              <w:t>Section 1.1 Recommendations for Improvement</w:t>
            </w:r>
          </w:p>
        </w:tc>
      </w:tr>
      <w:tr w:rsidR="00B15C78" w:rsidTr="00232412">
        <w:trPr>
          <w:trHeight w:val="364"/>
        </w:trPr>
        <w:tc>
          <w:tcPr>
            <w:tcW w:w="1129" w:type="dxa"/>
            <w:shd w:val="clear" w:color="auto" w:fill="auto"/>
            <w:vAlign w:val="center"/>
          </w:tcPr>
          <w:p w:rsidR="00B15C78" w:rsidRPr="007F4129" w:rsidRDefault="00E568AB" w:rsidP="006F6043">
            <w:pPr>
              <w:jc w:val="center"/>
              <w:rPr>
                <w:rFonts w:ascii="Arial" w:hAnsi="Arial" w:cs="Arial"/>
                <w:color w:val="009B3A"/>
              </w:rPr>
            </w:pPr>
            <w:r w:rsidRPr="00E568AB">
              <w:rPr>
                <w:rFonts w:ascii="Arial" w:hAnsi="Arial" w:cs="Arial"/>
                <w:color w:val="165788"/>
              </w:rPr>
              <w:t>1.1</w:t>
            </w:r>
          </w:p>
        </w:tc>
        <w:tc>
          <w:tcPr>
            <w:tcW w:w="12900" w:type="dxa"/>
            <w:gridSpan w:val="3"/>
            <w:shd w:val="clear" w:color="auto" w:fill="auto"/>
            <w:vAlign w:val="center"/>
          </w:tcPr>
          <w:p w:rsidR="007F4129" w:rsidRPr="00E568AB" w:rsidRDefault="00E568AB" w:rsidP="00E568AB">
            <w:pPr>
              <w:ind w:left="360"/>
              <w:rPr>
                <w:rFonts w:ascii="Arial" w:hAnsi="Arial" w:cs="Arial"/>
                <w:color w:val="009B3A"/>
              </w:rPr>
            </w:pPr>
            <w:r w:rsidRPr="00E568AB">
              <w:rPr>
                <w:rFonts w:ascii="Arial" w:hAnsi="Arial" w:cs="Arial"/>
                <w:color w:val="165788"/>
              </w:rPr>
              <w:t>None identified</w:t>
            </w:r>
          </w:p>
        </w:tc>
      </w:tr>
    </w:tbl>
    <w:p w:rsidR="002977ED" w:rsidRDefault="002977ED"/>
    <w:p w:rsidR="002977ED" w:rsidRDefault="002977ED">
      <w:r>
        <w:br w:type="page"/>
      </w:r>
    </w:p>
    <w:tbl>
      <w:tblPr>
        <w:tblW w:w="14029" w:type="dxa"/>
        <w:tblBorders>
          <w:top w:val="single" w:sz="4" w:space="0" w:color="165788"/>
          <w:left w:val="single" w:sz="4" w:space="0" w:color="165788"/>
          <w:bottom w:val="single" w:sz="4" w:space="0" w:color="165788"/>
          <w:right w:val="single" w:sz="4" w:space="0" w:color="165788"/>
          <w:insideH w:val="single" w:sz="4" w:space="0" w:color="165788"/>
          <w:insideV w:val="single" w:sz="4" w:space="0" w:color="165788"/>
        </w:tblBorders>
        <w:tblLook w:val="04A0" w:firstRow="1" w:lastRow="0" w:firstColumn="1" w:lastColumn="0" w:noHBand="0" w:noVBand="1"/>
      </w:tblPr>
      <w:tblGrid>
        <w:gridCol w:w="1129"/>
        <w:gridCol w:w="12900"/>
      </w:tblGrid>
      <w:tr w:rsidR="00A17CE8" w:rsidRPr="007C4B1F" w:rsidTr="000F6E73">
        <w:trPr>
          <w:trHeight w:val="577"/>
        </w:trPr>
        <w:tc>
          <w:tcPr>
            <w:tcW w:w="14029" w:type="dxa"/>
            <w:gridSpan w:val="2"/>
            <w:shd w:val="clear" w:color="auto" w:fill="165788"/>
            <w:vAlign w:val="center"/>
          </w:tcPr>
          <w:p w:rsidR="00A17CE8" w:rsidRPr="002D5ABC" w:rsidRDefault="00D608F3" w:rsidP="00D608F3">
            <w:pPr>
              <w:rPr>
                <w:rFonts w:ascii="Arial" w:hAnsi="Arial" w:cs="Arial"/>
                <w:b/>
              </w:rPr>
            </w:pPr>
            <w:r w:rsidRPr="00D74016">
              <w:rPr>
                <w:rFonts w:ascii="Arial" w:hAnsi="Arial" w:cs="Arial"/>
                <w:b/>
                <w:color w:val="FFFFFF" w:themeColor="background1"/>
              </w:rPr>
              <w:t>Required Outcomes: 1.2 Financial Viability</w:t>
            </w:r>
          </w:p>
        </w:tc>
      </w:tr>
      <w:tr w:rsidR="00D608F3" w:rsidRPr="007C4B1F" w:rsidTr="000F6E73">
        <w:tc>
          <w:tcPr>
            <w:tcW w:w="14029" w:type="dxa"/>
            <w:gridSpan w:val="2"/>
            <w:shd w:val="clear" w:color="auto" w:fill="auto"/>
          </w:tcPr>
          <w:p w:rsidR="00D608F3" w:rsidRPr="00414434" w:rsidRDefault="00D608F3" w:rsidP="00D608F3">
            <w:pPr>
              <w:rPr>
                <w:rFonts w:ascii="Arial" w:hAnsi="Arial" w:cs="Arial"/>
                <w:b/>
              </w:rPr>
            </w:pPr>
            <w:r w:rsidRPr="00414434">
              <w:rPr>
                <w:rFonts w:ascii="Arial" w:hAnsi="Arial" w:cs="Arial"/>
                <w:b/>
              </w:rPr>
              <w:t>Registered providers shall manage their resources effectively to ensure their viability is maintained while ensuring that social housing assets are not put at undue risk.</w:t>
            </w:r>
          </w:p>
          <w:p w:rsidR="00D608F3" w:rsidRPr="00414434" w:rsidRDefault="00D608F3" w:rsidP="00D608F3">
            <w:pPr>
              <w:rPr>
                <w:rFonts w:ascii="Arial" w:hAnsi="Arial" w:cs="Arial"/>
                <w:b/>
              </w:rPr>
            </w:pPr>
          </w:p>
        </w:tc>
      </w:tr>
      <w:tr w:rsidR="000253EB" w:rsidRPr="007C4B1F" w:rsidTr="000F6E73">
        <w:trPr>
          <w:trHeight w:val="680"/>
        </w:trPr>
        <w:tc>
          <w:tcPr>
            <w:tcW w:w="14029" w:type="dxa"/>
            <w:gridSpan w:val="2"/>
            <w:shd w:val="clear" w:color="auto" w:fill="auto"/>
            <w:vAlign w:val="center"/>
          </w:tcPr>
          <w:p w:rsidR="000253EB" w:rsidRPr="00971698" w:rsidRDefault="000253EB" w:rsidP="00B15C78">
            <w:pPr>
              <w:rPr>
                <w:rFonts w:ascii="Arial" w:hAnsi="Arial" w:cs="Arial"/>
                <w:b/>
              </w:rPr>
            </w:pPr>
            <w:r w:rsidRPr="00971698">
              <w:rPr>
                <w:rFonts w:ascii="Arial" w:hAnsi="Arial" w:cs="Arial"/>
                <w:b/>
              </w:rPr>
              <w:t>Code of Practice Paragraph 1.</w:t>
            </w:r>
            <w:r w:rsidR="00B15C78" w:rsidRPr="00971698">
              <w:rPr>
                <w:rFonts w:ascii="Arial" w:hAnsi="Arial" w:cs="Arial"/>
                <w:b/>
              </w:rPr>
              <w:t>2</w:t>
            </w:r>
          </w:p>
        </w:tc>
      </w:tr>
      <w:tr w:rsidR="000253EB" w:rsidRPr="007C4B1F" w:rsidTr="000F6E73">
        <w:trPr>
          <w:trHeight w:val="319"/>
        </w:trPr>
        <w:tc>
          <w:tcPr>
            <w:tcW w:w="1129" w:type="dxa"/>
            <w:shd w:val="clear" w:color="auto" w:fill="auto"/>
            <w:vAlign w:val="center"/>
          </w:tcPr>
          <w:p w:rsidR="000253EB" w:rsidRPr="000253EB" w:rsidRDefault="000253EB" w:rsidP="000253EB">
            <w:pPr>
              <w:jc w:val="center"/>
              <w:rPr>
                <w:rFonts w:ascii="Arial" w:hAnsi="Arial" w:cs="Arial"/>
              </w:rPr>
            </w:pPr>
            <w:r w:rsidRPr="000253EB">
              <w:rPr>
                <w:rFonts w:ascii="Arial" w:hAnsi="Arial" w:cs="Arial"/>
              </w:rPr>
              <w:t>8</w:t>
            </w:r>
          </w:p>
        </w:tc>
        <w:tc>
          <w:tcPr>
            <w:tcW w:w="12900" w:type="dxa"/>
            <w:shd w:val="clear" w:color="auto" w:fill="auto"/>
          </w:tcPr>
          <w:p w:rsidR="000253EB" w:rsidRPr="000253EB" w:rsidRDefault="000253EB" w:rsidP="000253EB">
            <w:pPr>
              <w:autoSpaceDE w:val="0"/>
              <w:autoSpaceDN w:val="0"/>
              <w:adjustRightInd w:val="0"/>
              <w:rPr>
                <w:rFonts w:ascii="Arial" w:hAnsi="Arial" w:cs="Arial"/>
                <w:color w:val="000000"/>
                <w:lang w:eastAsia="en-GB" w:bidi="ar-SA"/>
              </w:rPr>
            </w:pPr>
            <w:r w:rsidRPr="000253EB">
              <w:rPr>
                <w:rFonts w:ascii="Arial" w:hAnsi="Arial" w:cs="Arial"/>
                <w:color w:val="000000"/>
                <w:lang w:eastAsia="en-GB" w:bidi="ar-SA"/>
              </w:rPr>
              <w:t xml:space="preserve">Registered providers should take all such steps as are reasonably necessary to ensure that any activities they undertake do not place social housing assets, activities relating to the provision of social housing or their own financial viability at undue risk. The regulator recognises that registered providers should have the flexibility to consider risks in light of their individual circumstances. Boards of registered providers have the responsibility to satisfy themselves and provide assurance to the regulator that: </w:t>
            </w:r>
          </w:p>
          <w:p w:rsidR="000253EB" w:rsidRPr="000253EB" w:rsidRDefault="000253EB" w:rsidP="00896CA9">
            <w:pPr>
              <w:pStyle w:val="ListParagraph"/>
              <w:numPr>
                <w:ilvl w:val="0"/>
                <w:numId w:val="10"/>
              </w:numPr>
              <w:autoSpaceDE w:val="0"/>
              <w:autoSpaceDN w:val="0"/>
              <w:adjustRightInd w:val="0"/>
              <w:ind w:left="601" w:hanging="601"/>
              <w:rPr>
                <w:rFonts w:ascii="Arial" w:hAnsi="Arial" w:cs="Arial"/>
                <w:color w:val="000000"/>
                <w:lang w:eastAsia="en-GB" w:bidi="ar-SA"/>
              </w:rPr>
            </w:pPr>
            <w:r w:rsidRPr="000253EB">
              <w:rPr>
                <w:rFonts w:ascii="Arial" w:hAnsi="Arial" w:cs="Arial"/>
                <w:color w:val="000000"/>
                <w:lang w:eastAsia="en-GB" w:bidi="ar-SA"/>
              </w:rPr>
              <w:t xml:space="preserve">they have considered the requirement appropriately in relation to their own external and internal operating environment </w:t>
            </w:r>
          </w:p>
          <w:p w:rsidR="000253EB" w:rsidRPr="000253EB" w:rsidRDefault="000253EB" w:rsidP="00896CA9">
            <w:pPr>
              <w:pStyle w:val="ListParagraph"/>
              <w:numPr>
                <w:ilvl w:val="0"/>
                <w:numId w:val="10"/>
              </w:numPr>
              <w:ind w:left="601" w:hanging="601"/>
              <w:rPr>
                <w:rFonts w:ascii="Arial" w:hAnsi="Arial" w:cs="Arial"/>
              </w:rPr>
            </w:pPr>
            <w:r w:rsidRPr="000253EB">
              <w:rPr>
                <w:rFonts w:ascii="Arial" w:hAnsi="Arial" w:cs="Arial"/>
                <w:color w:val="000000"/>
                <w:lang w:eastAsia="en-GB" w:bidi="ar-SA"/>
              </w:rPr>
              <w:t>they are satisfied they will comply with regulatory requirements now and in the foreseeable future</w:t>
            </w:r>
          </w:p>
        </w:tc>
      </w:tr>
      <w:tr w:rsidR="000253EB" w:rsidRPr="007C4B1F" w:rsidTr="000F6E73">
        <w:trPr>
          <w:trHeight w:val="318"/>
        </w:trPr>
        <w:tc>
          <w:tcPr>
            <w:tcW w:w="1129" w:type="dxa"/>
            <w:shd w:val="clear" w:color="auto" w:fill="auto"/>
            <w:vAlign w:val="center"/>
          </w:tcPr>
          <w:p w:rsidR="000253EB" w:rsidRPr="000253EB" w:rsidRDefault="000253EB" w:rsidP="000253EB">
            <w:pPr>
              <w:jc w:val="center"/>
              <w:rPr>
                <w:rFonts w:ascii="Arial" w:hAnsi="Arial" w:cs="Arial"/>
              </w:rPr>
            </w:pPr>
            <w:r w:rsidRPr="000253EB">
              <w:rPr>
                <w:rFonts w:ascii="Arial" w:hAnsi="Arial" w:cs="Arial"/>
              </w:rPr>
              <w:t>9</w:t>
            </w:r>
          </w:p>
        </w:tc>
        <w:tc>
          <w:tcPr>
            <w:tcW w:w="12900" w:type="dxa"/>
            <w:shd w:val="clear" w:color="auto" w:fill="auto"/>
          </w:tcPr>
          <w:p w:rsidR="000253EB" w:rsidRPr="000253EB" w:rsidRDefault="000253EB" w:rsidP="000253EB">
            <w:pPr>
              <w:autoSpaceDE w:val="0"/>
              <w:autoSpaceDN w:val="0"/>
              <w:adjustRightInd w:val="0"/>
              <w:rPr>
                <w:rFonts w:ascii="Arial" w:hAnsi="Arial" w:cs="Arial"/>
                <w:color w:val="000000"/>
                <w:lang w:eastAsia="en-GB" w:bidi="ar-SA"/>
              </w:rPr>
            </w:pPr>
            <w:r w:rsidRPr="000253EB">
              <w:rPr>
                <w:rFonts w:ascii="Arial" w:hAnsi="Arial" w:cs="Arial"/>
                <w:color w:val="000000"/>
                <w:lang w:eastAsia="en-GB" w:bidi="ar-SA"/>
              </w:rPr>
              <w:t xml:space="preserve">Examples of what the regulator considers to be unacceptable outcomes resulting from social housing assets being put at undue risk are outlined below. These examples are not intended to be exhaustive but rather to give context to registered providers in considering the risks within their business: </w:t>
            </w:r>
          </w:p>
          <w:p w:rsidR="000253EB" w:rsidRPr="000253EB" w:rsidRDefault="000253EB" w:rsidP="00896CA9">
            <w:pPr>
              <w:pStyle w:val="ListParagraph"/>
              <w:numPr>
                <w:ilvl w:val="0"/>
                <w:numId w:val="10"/>
              </w:numPr>
              <w:autoSpaceDE w:val="0"/>
              <w:autoSpaceDN w:val="0"/>
              <w:adjustRightInd w:val="0"/>
              <w:spacing w:after="188"/>
              <w:ind w:left="601" w:hanging="601"/>
              <w:rPr>
                <w:rFonts w:ascii="Arial" w:hAnsi="Arial" w:cs="Arial"/>
                <w:color w:val="000000"/>
                <w:lang w:eastAsia="en-GB" w:bidi="ar-SA"/>
              </w:rPr>
            </w:pPr>
            <w:r w:rsidRPr="000253EB">
              <w:rPr>
                <w:rFonts w:ascii="Arial" w:hAnsi="Arial" w:cs="Arial"/>
                <w:color w:val="000000"/>
                <w:lang w:eastAsia="en-GB" w:bidi="ar-SA"/>
              </w:rPr>
              <w:t xml:space="preserve">loss of social housing assets and/or tenants losing their home or the benefits of being within a regulated sector due to lenders or others enforcing their security or insolvency </w:t>
            </w:r>
          </w:p>
          <w:p w:rsidR="000253EB" w:rsidRPr="000253EB" w:rsidRDefault="000253EB" w:rsidP="00896CA9">
            <w:pPr>
              <w:pStyle w:val="ListParagraph"/>
              <w:numPr>
                <w:ilvl w:val="0"/>
                <w:numId w:val="10"/>
              </w:numPr>
              <w:autoSpaceDE w:val="0"/>
              <w:autoSpaceDN w:val="0"/>
              <w:adjustRightInd w:val="0"/>
              <w:ind w:left="601" w:hanging="601"/>
              <w:rPr>
                <w:rFonts w:ascii="Arial" w:hAnsi="Arial" w:cs="Arial"/>
                <w:color w:val="000000"/>
                <w:lang w:eastAsia="en-GB" w:bidi="ar-SA"/>
              </w:rPr>
            </w:pPr>
            <w:r w:rsidRPr="000253EB">
              <w:rPr>
                <w:rFonts w:ascii="Arial" w:hAnsi="Arial" w:cs="Arial"/>
                <w:color w:val="000000"/>
                <w:lang w:eastAsia="en-GB" w:bidi="ar-SA"/>
              </w:rPr>
              <w:t xml:space="preserve">loss of social housing assets where the sale of those assets is the result of poor business planning and decisions or where the reason for the sale is to make good an unplanned cash shortfall </w:t>
            </w:r>
          </w:p>
          <w:p w:rsidR="000253EB" w:rsidRPr="000253EB" w:rsidRDefault="000253EB" w:rsidP="00D608F3">
            <w:pPr>
              <w:rPr>
                <w:rFonts w:ascii="Arial" w:hAnsi="Arial" w:cs="Arial"/>
              </w:rPr>
            </w:pPr>
          </w:p>
        </w:tc>
      </w:tr>
      <w:tr w:rsidR="000253EB" w:rsidRPr="007C4B1F" w:rsidTr="000F6E73">
        <w:trPr>
          <w:trHeight w:val="642"/>
        </w:trPr>
        <w:tc>
          <w:tcPr>
            <w:tcW w:w="1129" w:type="dxa"/>
            <w:shd w:val="clear" w:color="auto" w:fill="auto"/>
            <w:vAlign w:val="center"/>
          </w:tcPr>
          <w:p w:rsidR="000253EB" w:rsidRPr="000253EB" w:rsidRDefault="000253EB" w:rsidP="00E751C1">
            <w:pPr>
              <w:jc w:val="center"/>
              <w:rPr>
                <w:rFonts w:ascii="Arial" w:hAnsi="Arial" w:cs="Arial"/>
              </w:rPr>
            </w:pPr>
            <w:r w:rsidRPr="000253EB">
              <w:rPr>
                <w:rFonts w:ascii="Arial" w:hAnsi="Arial" w:cs="Arial"/>
              </w:rPr>
              <w:t>10</w:t>
            </w:r>
          </w:p>
        </w:tc>
        <w:tc>
          <w:tcPr>
            <w:tcW w:w="12900" w:type="dxa"/>
            <w:shd w:val="clear" w:color="auto" w:fill="auto"/>
          </w:tcPr>
          <w:p w:rsidR="000253EB" w:rsidRPr="00E751C1" w:rsidRDefault="000253EB" w:rsidP="000253EB">
            <w:pPr>
              <w:autoSpaceDE w:val="0"/>
              <w:autoSpaceDN w:val="0"/>
              <w:adjustRightInd w:val="0"/>
              <w:rPr>
                <w:rFonts w:ascii="Arial" w:hAnsi="Arial" w:cs="Arial"/>
                <w:b/>
              </w:rPr>
            </w:pPr>
            <w:r w:rsidRPr="000253EB">
              <w:rPr>
                <w:rFonts w:ascii="Arial" w:hAnsi="Arial" w:cs="Arial"/>
                <w:color w:val="000000"/>
                <w:lang w:eastAsia="en-GB" w:bidi="ar-SA"/>
              </w:rPr>
              <w:t xml:space="preserve">The regulator recognises every business decision will carry risk and sometimes those risks will crystallise. There is, however, a difference between managed risk and uncontrolled loss. The regulator expects boards to manage the business to promote the former and avoid the latter. In addition, the regulator does not intend that all social housing assets should remain in the sector for ever. However, the value in the assets </w:t>
            </w:r>
            <w:r w:rsidRPr="00E751C1">
              <w:rPr>
                <w:rFonts w:ascii="Arial" w:hAnsi="Arial" w:cs="Arial"/>
                <w:lang w:eastAsia="en-GB" w:bidi="ar-SA"/>
              </w:rPr>
              <w:t>should not be lost to the sector. Under the Value for Money Standard, registered providers are expected to consider how to make best use of their assets.</w:t>
            </w:r>
          </w:p>
        </w:tc>
      </w:tr>
      <w:tr w:rsidR="000253EB" w:rsidRPr="007C4B1F" w:rsidTr="00F5700C">
        <w:trPr>
          <w:trHeight w:val="624"/>
        </w:trPr>
        <w:tc>
          <w:tcPr>
            <w:tcW w:w="14029" w:type="dxa"/>
            <w:gridSpan w:val="2"/>
            <w:shd w:val="clear" w:color="auto" w:fill="165788"/>
            <w:vAlign w:val="center"/>
          </w:tcPr>
          <w:p w:rsidR="00927937" w:rsidRPr="00F5700C" w:rsidRDefault="00E751C1" w:rsidP="00927937">
            <w:pPr>
              <w:rPr>
                <w:rFonts w:ascii="Arial" w:hAnsi="Arial" w:cs="Arial"/>
                <w:b/>
                <w:color w:val="FFFFFF" w:themeColor="background1"/>
              </w:rPr>
            </w:pPr>
            <w:r w:rsidRPr="00F5700C">
              <w:rPr>
                <w:rFonts w:ascii="Arial" w:hAnsi="Arial" w:cs="Arial"/>
                <w:b/>
                <w:color w:val="FFFFFF" w:themeColor="background1"/>
              </w:rPr>
              <w:t>Bdht Compliance Position</w:t>
            </w:r>
            <w:r w:rsidR="00C13413" w:rsidRPr="00F5700C">
              <w:rPr>
                <w:rFonts w:ascii="Arial" w:hAnsi="Arial" w:cs="Arial"/>
                <w:b/>
                <w:color w:val="FFFFFF" w:themeColor="background1"/>
              </w:rPr>
              <w:t xml:space="preserve"> </w:t>
            </w:r>
            <w:r w:rsidR="00927937" w:rsidRPr="00F5700C">
              <w:rPr>
                <w:rFonts w:ascii="Arial" w:hAnsi="Arial" w:cs="Arial"/>
                <w:b/>
                <w:color w:val="FFFFFF" w:themeColor="background1"/>
              </w:rPr>
              <w:t>–</w:t>
            </w:r>
            <w:r w:rsidR="00C13413" w:rsidRPr="00F5700C">
              <w:rPr>
                <w:rFonts w:ascii="Arial" w:hAnsi="Arial" w:cs="Arial"/>
                <w:b/>
                <w:color w:val="FFFFFF" w:themeColor="background1"/>
              </w:rPr>
              <w:t xml:space="preserve"> Compliant</w:t>
            </w:r>
          </w:p>
        </w:tc>
      </w:tr>
      <w:tr w:rsidR="000253EB" w:rsidRPr="007C4B1F" w:rsidTr="000F6E73">
        <w:tc>
          <w:tcPr>
            <w:tcW w:w="14029" w:type="dxa"/>
            <w:gridSpan w:val="2"/>
            <w:shd w:val="clear" w:color="auto" w:fill="auto"/>
          </w:tcPr>
          <w:p w:rsidR="00927937" w:rsidRPr="00745656" w:rsidRDefault="00C13413" w:rsidP="00C13413">
            <w:pPr>
              <w:rPr>
                <w:rFonts w:ascii="Arial" w:hAnsi="Arial" w:cs="Arial"/>
                <w:color w:val="009B3A"/>
              </w:rPr>
            </w:pPr>
            <w:r w:rsidRPr="00EF2DC6">
              <w:rPr>
                <w:rFonts w:ascii="Arial" w:hAnsi="Arial" w:cs="Arial"/>
                <w:color w:val="165788"/>
              </w:rPr>
              <w:t>bdht manage resources effectively as evidenced through the annual Viability Report</w:t>
            </w:r>
            <w:r w:rsidR="00927937" w:rsidRPr="00EF2DC6">
              <w:rPr>
                <w:rFonts w:ascii="Arial" w:hAnsi="Arial" w:cs="Arial"/>
                <w:color w:val="165788"/>
              </w:rPr>
              <w:t xml:space="preserve"> </w:t>
            </w:r>
            <w:r w:rsidR="00EF2DC6" w:rsidRPr="00EF2DC6">
              <w:rPr>
                <w:rFonts w:ascii="Arial" w:hAnsi="Arial" w:cs="Arial"/>
                <w:color w:val="165788"/>
              </w:rPr>
              <w:t xml:space="preserve">of the Regulator </w:t>
            </w:r>
            <w:r w:rsidR="00927937" w:rsidRPr="00EF2DC6">
              <w:rPr>
                <w:rFonts w:ascii="Arial" w:hAnsi="Arial" w:cs="Arial"/>
                <w:color w:val="165788"/>
              </w:rPr>
              <w:t>and financial performance</w:t>
            </w:r>
            <w:r w:rsidRPr="00745656">
              <w:rPr>
                <w:rFonts w:ascii="Arial" w:hAnsi="Arial" w:cs="Arial"/>
                <w:color w:val="009B3A"/>
              </w:rPr>
              <w:t xml:space="preserve">. </w:t>
            </w:r>
          </w:p>
          <w:p w:rsidR="00927937" w:rsidRPr="00EF2DC6" w:rsidRDefault="00927937" w:rsidP="00C13413">
            <w:pPr>
              <w:rPr>
                <w:rFonts w:ascii="Arial" w:hAnsi="Arial" w:cs="Arial"/>
                <w:color w:val="165788"/>
              </w:rPr>
            </w:pPr>
          </w:p>
          <w:p w:rsidR="00C13413" w:rsidRPr="00745656" w:rsidRDefault="00927937" w:rsidP="00C13413">
            <w:pPr>
              <w:rPr>
                <w:rFonts w:ascii="Arial" w:hAnsi="Arial" w:cs="Arial"/>
                <w:color w:val="009B3A"/>
              </w:rPr>
            </w:pPr>
            <w:r w:rsidRPr="00EF2DC6">
              <w:rPr>
                <w:rFonts w:ascii="Arial" w:hAnsi="Arial" w:cs="Arial"/>
                <w:color w:val="165788"/>
              </w:rPr>
              <w:t xml:space="preserve">The </w:t>
            </w:r>
            <w:r w:rsidR="00EF2DC6" w:rsidRPr="00EF2DC6">
              <w:rPr>
                <w:rFonts w:ascii="Arial" w:hAnsi="Arial" w:cs="Arial"/>
                <w:color w:val="165788"/>
              </w:rPr>
              <w:t>RSH</w:t>
            </w:r>
            <w:r w:rsidRPr="00EF2DC6">
              <w:rPr>
                <w:rFonts w:ascii="Arial" w:hAnsi="Arial" w:cs="Arial"/>
                <w:color w:val="165788"/>
              </w:rPr>
              <w:t xml:space="preserve"> Viability Report </w:t>
            </w:r>
            <w:r w:rsidR="00C13413" w:rsidRPr="00EF2DC6">
              <w:rPr>
                <w:rFonts w:ascii="Arial" w:hAnsi="Arial" w:cs="Arial"/>
                <w:color w:val="165788"/>
              </w:rPr>
              <w:t>is an independent regulatory assessment of bdht’s viability and long term sustainability and tests the ability of bdht to deliver objectives set out in the Business Plan</w:t>
            </w:r>
            <w:r w:rsidR="00EF2DC6" w:rsidRPr="00EF2DC6">
              <w:rPr>
                <w:rFonts w:ascii="Arial" w:hAnsi="Arial" w:cs="Arial"/>
                <w:color w:val="165788"/>
              </w:rPr>
              <w:t xml:space="preserve"> and RSH requirements</w:t>
            </w:r>
            <w:r w:rsidR="00C13413" w:rsidRPr="00EF2DC6">
              <w:rPr>
                <w:rFonts w:ascii="Arial" w:hAnsi="Arial" w:cs="Arial"/>
                <w:color w:val="165788"/>
              </w:rPr>
              <w:t xml:space="preserve">. </w:t>
            </w:r>
            <w:r w:rsidRPr="00EF2DC6">
              <w:rPr>
                <w:rFonts w:ascii="Arial" w:hAnsi="Arial" w:cs="Arial"/>
                <w:color w:val="165788"/>
              </w:rPr>
              <w:t xml:space="preserve">In </w:t>
            </w:r>
            <w:r w:rsidR="00745656" w:rsidRPr="00EF2DC6">
              <w:rPr>
                <w:rFonts w:ascii="Arial" w:hAnsi="Arial" w:cs="Arial"/>
                <w:color w:val="165788"/>
              </w:rPr>
              <w:t>November</w:t>
            </w:r>
            <w:r w:rsidRPr="00EF2DC6">
              <w:rPr>
                <w:rFonts w:ascii="Arial" w:hAnsi="Arial" w:cs="Arial"/>
                <w:color w:val="165788"/>
              </w:rPr>
              <w:t xml:space="preserve"> 201</w:t>
            </w:r>
            <w:r w:rsidR="00EF2DC6" w:rsidRPr="00EF2DC6">
              <w:rPr>
                <w:rFonts w:ascii="Arial" w:hAnsi="Arial" w:cs="Arial"/>
                <w:color w:val="165788"/>
              </w:rPr>
              <w:t>7</w:t>
            </w:r>
            <w:r w:rsidRPr="00EF2DC6">
              <w:rPr>
                <w:rFonts w:ascii="Arial" w:hAnsi="Arial" w:cs="Arial"/>
                <w:color w:val="165788"/>
              </w:rPr>
              <w:t xml:space="preserve">, the </w:t>
            </w:r>
            <w:r w:rsidR="00EF2DC6" w:rsidRPr="00EF2DC6">
              <w:rPr>
                <w:rFonts w:ascii="Arial" w:hAnsi="Arial" w:cs="Arial"/>
                <w:color w:val="165788"/>
              </w:rPr>
              <w:t>Regulator</w:t>
            </w:r>
            <w:r w:rsidRPr="00EF2DC6">
              <w:rPr>
                <w:rFonts w:ascii="Arial" w:hAnsi="Arial" w:cs="Arial"/>
                <w:color w:val="165788"/>
              </w:rPr>
              <w:t xml:space="preserve">, in their last published </w:t>
            </w:r>
            <w:r w:rsidR="00C13413" w:rsidRPr="00EF2DC6">
              <w:rPr>
                <w:rFonts w:ascii="Arial" w:hAnsi="Arial" w:cs="Arial"/>
                <w:color w:val="165788"/>
              </w:rPr>
              <w:t xml:space="preserve">assessment </w:t>
            </w:r>
            <w:r w:rsidRPr="00EF2DC6">
              <w:rPr>
                <w:rFonts w:ascii="Arial" w:hAnsi="Arial" w:cs="Arial"/>
                <w:color w:val="165788"/>
              </w:rPr>
              <w:t>of bdht, awarded</w:t>
            </w:r>
            <w:r w:rsidR="00C13413" w:rsidRPr="00EF2DC6">
              <w:rPr>
                <w:rFonts w:ascii="Arial" w:hAnsi="Arial" w:cs="Arial"/>
                <w:color w:val="165788"/>
              </w:rPr>
              <w:t xml:space="preserve"> </w:t>
            </w:r>
            <w:r w:rsidRPr="00EF2DC6">
              <w:rPr>
                <w:rFonts w:ascii="Arial" w:hAnsi="Arial" w:cs="Arial"/>
                <w:color w:val="165788"/>
              </w:rPr>
              <w:t>their</w:t>
            </w:r>
            <w:r w:rsidR="00C13413" w:rsidRPr="00EF2DC6">
              <w:rPr>
                <w:rFonts w:ascii="Arial" w:hAnsi="Arial" w:cs="Arial"/>
                <w:color w:val="165788"/>
              </w:rPr>
              <w:t xml:space="preserve"> best possible V1 rating, as it has done in all previous years since stock transfer.</w:t>
            </w:r>
          </w:p>
          <w:p w:rsidR="00927937" w:rsidRPr="007D187B" w:rsidRDefault="00927937" w:rsidP="00C13413">
            <w:pPr>
              <w:rPr>
                <w:rFonts w:ascii="Arial" w:hAnsi="Arial" w:cs="Arial"/>
                <w:color w:val="42145F"/>
              </w:rPr>
            </w:pPr>
          </w:p>
          <w:p w:rsidR="00927937" w:rsidRPr="00EF2DC6" w:rsidRDefault="00927937" w:rsidP="00C13413">
            <w:pPr>
              <w:rPr>
                <w:rFonts w:ascii="Arial" w:hAnsi="Arial" w:cs="Arial"/>
                <w:color w:val="165788"/>
              </w:rPr>
            </w:pPr>
            <w:r w:rsidRPr="00EF2DC6">
              <w:rPr>
                <w:rFonts w:ascii="Arial" w:hAnsi="Arial" w:cs="Arial"/>
                <w:color w:val="165788"/>
              </w:rPr>
              <w:t>During 201</w:t>
            </w:r>
            <w:r w:rsidR="00EF2DC6" w:rsidRPr="00EF2DC6">
              <w:rPr>
                <w:rFonts w:ascii="Arial" w:hAnsi="Arial" w:cs="Arial"/>
                <w:color w:val="165788"/>
              </w:rPr>
              <w:t>7</w:t>
            </w:r>
            <w:r w:rsidRPr="00EF2DC6">
              <w:rPr>
                <w:rFonts w:ascii="Arial" w:hAnsi="Arial" w:cs="Arial"/>
                <w:color w:val="165788"/>
              </w:rPr>
              <w:t>/1</w:t>
            </w:r>
            <w:r w:rsidR="00EF2DC6" w:rsidRPr="00EF2DC6">
              <w:rPr>
                <w:rFonts w:ascii="Arial" w:hAnsi="Arial" w:cs="Arial"/>
                <w:color w:val="165788"/>
              </w:rPr>
              <w:t>8</w:t>
            </w:r>
            <w:r w:rsidRPr="00EF2DC6">
              <w:rPr>
                <w:rFonts w:ascii="Arial" w:hAnsi="Arial" w:cs="Arial"/>
                <w:color w:val="165788"/>
              </w:rPr>
              <w:t xml:space="preserve"> bdht financial performance was </w:t>
            </w:r>
            <w:r w:rsidR="006C727F" w:rsidRPr="00EF2DC6">
              <w:rPr>
                <w:rFonts w:ascii="Arial" w:hAnsi="Arial" w:cs="Arial"/>
                <w:color w:val="165788"/>
              </w:rPr>
              <w:t>strong</w:t>
            </w:r>
            <w:r w:rsidRPr="00EF2DC6">
              <w:rPr>
                <w:rFonts w:ascii="Arial" w:hAnsi="Arial" w:cs="Arial"/>
                <w:color w:val="165788"/>
              </w:rPr>
              <w:t>, in a difficult operating environment, generating:</w:t>
            </w:r>
          </w:p>
          <w:p w:rsidR="00927937" w:rsidRPr="00EF2DC6" w:rsidRDefault="00927937" w:rsidP="00896CA9">
            <w:pPr>
              <w:pStyle w:val="ListParagraph"/>
              <w:numPr>
                <w:ilvl w:val="0"/>
                <w:numId w:val="27"/>
              </w:numPr>
              <w:rPr>
                <w:rFonts w:ascii="Arial" w:hAnsi="Arial" w:cs="Arial"/>
                <w:color w:val="165788"/>
              </w:rPr>
            </w:pPr>
            <w:r w:rsidRPr="00EF2DC6">
              <w:rPr>
                <w:rFonts w:ascii="Arial" w:hAnsi="Arial" w:cs="Arial"/>
                <w:color w:val="165788"/>
              </w:rPr>
              <w:t xml:space="preserve">an operating surplus (actual surplus as a percentage of budget surplus) of </w:t>
            </w:r>
            <w:r w:rsidR="00F637B9" w:rsidRPr="00EF2DC6">
              <w:rPr>
                <w:rFonts w:ascii="Arial" w:hAnsi="Arial" w:cs="Arial"/>
                <w:color w:val="165788"/>
              </w:rPr>
              <w:t>1</w:t>
            </w:r>
            <w:r w:rsidR="00EF2DC6" w:rsidRPr="00EF2DC6">
              <w:rPr>
                <w:rFonts w:ascii="Arial" w:hAnsi="Arial" w:cs="Arial"/>
                <w:color w:val="165788"/>
              </w:rPr>
              <w:t>2</w:t>
            </w:r>
            <w:r w:rsidR="00C34DF9">
              <w:rPr>
                <w:rFonts w:ascii="Arial" w:hAnsi="Arial" w:cs="Arial"/>
                <w:color w:val="165788"/>
              </w:rPr>
              <w:t>5</w:t>
            </w:r>
            <w:r w:rsidRPr="00EF2DC6">
              <w:rPr>
                <w:rFonts w:ascii="Arial" w:hAnsi="Arial" w:cs="Arial"/>
                <w:color w:val="165788"/>
              </w:rPr>
              <w:t>%;</w:t>
            </w:r>
          </w:p>
          <w:p w:rsidR="00F637B9" w:rsidRPr="00EF2DC6" w:rsidRDefault="00927937" w:rsidP="007D187B">
            <w:pPr>
              <w:pStyle w:val="ListParagraph"/>
              <w:numPr>
                <w:ilvl w:val="0"/>
                <w:numId w:val="27"/>
              </w:numPr>
              <w:rPr>
                <w:rFonts w:ascii="Arial" w:hAnsi="Arial" w:cs="Arial"/>
                <w:color w:val="165788"/>
              </w:rPr>
            </w:pPr>
            <w:r w:rsidRPr="00EF2DC6">
              <w:rPr>
                <w:rFonts w:ascii="Arial" w:hAnsi="Arial" w:cs="Arial"/>
                <w:color w:val="165788"/>
              </w:rPr>
              <w:t>an operating margin (operating surplus as a percentage of turnover) of 3</w:t>
            </w:r>
            <w:r w:rsidR="00C34DF9">
              <w:rPr>
                <w:rFonts w:ascii="Arial" w:hAnsi="Arial" w:cs="Arial"/>
                <w:color w:val="165788"/>
              </w:rPr>
              <w:t>3</w:t>
            </w:r>
            <w:r w:rsidRPr="00EF2DC6">
              <w:rPr>
                <w:rFonts w:ascii="Arial" w:hAnsi="Arial" w:cs="Arial"/>
                <w:color w:val="165788"/>
              </w:rPr>
              <w:t>%</w:t>
            </w:r>
            <w:r w:rsidR="00F637B9" w:rsidRPr="00EF2DC6">
              <w:rPr>
                <w:rFonts w:ascii="Arial" w:hAnsi="Arial" w:cs="Arial"/>
                <w:color w:val="165788"/>
              </w:rPr>
              <w:t>;</w:t>
            </w:r>
          </w:p>
          <w:p w:rsidR="00927937" w:rsidRPr="00E568AB" w:rsidRDefault="00927937" w:rsidP="007D187B">
            <w:pPr>
              <w:pStyle w:val="ListParagraph"/>
              <w:numPr>
                <w:ilvl w:val="0"/>
                <w:numId w:val="27"/>
              </w:numPr>
              <w:rPr>
                <w:rFonts w:ascii="Arial" w:hAnsi="Arial" w:cs="Arial"/>
                <w:color w:val="165788"/>
              </w:rPr>
            </w:pPr>
            <w:r w:rsidRPr="00EF2DC6">
              <w:rPr>
                <w:rFonts w:ascii="Arial" w:hAnsi="Arial" w:cs="Arial"/>
                <w:color w:val="165788"/>
              </w:rPr>
              <w:t>loan debt per unit of £</w:t>
            </w:r>
            <w:r w:rsidR="006C727F" w:rsidRPr="00EF2DC6">
              <w:rPr>
                <w:rFonts w:ascii="Arial" w:hAnsi="Arial" w:cs="Arial"/>
                <w:color w:val="165788"/>
              </w:rPr>
              <w:t>16,</w:t>
            </w:r>
            <w:r w:rsidR="00EF2DC6" w:rsidRPr="00EF2DC6">
              <w:rPr>
                <w:rFonts w:ascii="Arial" w:hAnsi="Arial" w:cs="Arial"/>
                <w:color w:val="165788"/>
              </w:rPr>
              <w:t xml:space="preserve">336 </w:t>
            </w:r>
            <w:r w:rsidRPr="00EF2DC6">
              <w:rPr>
                <w:rFonts w:ascii="Arial" w:hAnsi="Arial" w:cs="Arial"/>
                <w:color w:val="165788"/>
              </w:rPr>
              <w:t xml:space="preserve">against a loan covenant requirement of a </w:t>
            </w:r>
            <w:r w:rsidRPr="00E568AB">
              <w:rPr>
                <w:rFonts w:ascii="Arial" w:hAnsi="Arial" w:cs="Arial"/>
                <w:color w:val="165788"/>
              </w:rPr>
              <w:t>maximum debt per unit of £24,000;</w:t>
            </w:r>
          </w:p>
          <w:p w:rsidR="00927937" w:rsidRPr="00E568AB" w:rsidRDefault="00927937" w:rsidP="00896CA9">
            <w:pPr>
              <w:pStyle w:val="ListParagraph"/>
              <w:numPr>
                <w:ilvl w:val="0"/>
                <w:numId w:val="27"/>
              </w:numPr>
              <w:rPr>
                <w:rFonts w:ascii="Arial" w:hAnsi="Arial" w:cs="Arial"/>
                <w:color w:val="165788"/>
              </w:rPr>
            </w:pPr>
            <w:r w:rsidRPr="00E568AB">
              <w:rPr>
                <w:rFonts w:ascii="Arial" w:hAnsi="Arial" w:cs="Arial"/>
                <w:color w:val="165788"/>
              </w:rPr>
              <w:t>loan interest</w:t>
            </w:r>
            <w:r w:rsidR="008E59C2" w:rsidRPr="00E568AB">
              <w:rPr>
                <w:rFonts w:ascii="Arial" w:hAnsi="Arial" w:cs="Arial"/>
                <w:color w:val="165788"/>
              </w:rPr>
              <w:t xml:space="preserve"> cover of </w:t>
            </w:r>
            <w:r w:rsidR="006C727F" w:rsidRPr="00E568AB">
              <w:rPr>
                <w:rFonts w:ascii="Arial" w:hAnsi="Arial" w:cs="Arial"/>
                <w:color w:val="165788"/>
              </w:rPr>
              <w:t>3.2</w:t>
            </w:r>
            <w:r w:rsidR="00EF2DC6" w:rsidRPr="00E568AB">
              <w:rPr>
                <w:rFonts w:ascii="Arial" w:hAnsi="Arial" w:cs="Arial"/>
                <w:color w:val="165788"/>
              </w:rPr>
              <w:t>8</w:t>
            </w:r>
            <w:r w:rsidR="008E59C2" w:rsidRPr="00E568AB">
              <w:rPr>
                <w:rFonts w:ascii="Arial" w:hAnsi="Arial" w:cs="Arial"/>
                <w:color w:val="165788"/>
              </w:rPr>
              <w:t xml:space="preserve"> times compared to a loan covenant requirement of 1.</w:t>
            </w:r>
            <w:r w:rsidR="00EF2DC6" w:rsidRPr="00E568AB">
              <w:rPr>
                <w:rFonts w:ascii="Arial" w:hAnsi="Arial" w:cs="Arial"/>
                <w:color w:val="165788"/>
              </w:rPr>
              <w:t>1</w:t>
            </w:r>
            <w:r w:rsidR="008E59C2" w:rsidRPr="00E568AB">
              <w:rPr>
                <w:rFonts w:ascii="Arial" w:hAnsi="Arial" w:cs="Arial"/>
                <w:color w:val="165788"/>
              </w:rPr>
              <w:t xml:space="preserve"> times.</w:t>
            </w:r>
          </w:p>
          <w:p w:rsidR="00C13413" w:rsidRPr="00E568AB" w:rsidRDefault="00C13413" w:rsidP="00C13413">
            <w:pPr>
              <w:rPr>
                <w:rFonts w:ascii="Arial" w:hAnsi="Arial" w:cs="Arial"/>
                <w:color w:val="165788"/>
              </w:rPr>
            </w:pPr>
          </w:p>
          <w:p w:rsidR="00C13413" w:rsidRPr="00EF2DC6" w:rsidRDefault="00C13413" w:rsidP="00C13413">
            <w:pPr>
              <w:rPr>
                <w:rFonts w:ascii="Arial" w:hAnsi="Arial" w:cs="Arial"/>
                <w:color w:val="165788"/>
              </w:rPr>
            </w:pPr>
            <w:r w:rsidRPr="00EF2DC6">
              <w:rPr>
                <w:rFonts w:ascii="Arial" w:hAnsi="Arial" w:cs="Arial"/>
                <w:color w:val="165788"/>
              </w:rPr>
              <w:t>bdht employ specialist financial consultants to provide advice on loan management and to ensure actions are prudent.</w:t>
            </w:r>
          </w:p>
          <w:p w:rsidR="00A847CD" w:rsidRPr="006C727F" w:rsidRDefault="00A847CD" w:rsidP="00C13413">
            <w:pPr>
              <w:rPr>
                <w:rFonts w:ascii="Arial" w:hAnsi="Arial" w:cs="Arial"/>
                <w:color w:val="009B3A"/>
              </w:rPr>
            </w:pPr>
          </w:p>
          <w:p w:rsidR="00A847CD" w:rsidRPr="00EF2DC6" w:rsidRDefault="00A847CD" w:rsidP="00C13413">
            <w:pPr>
              <w:rPr>
                <w:rFonts w:ascii="Arial" w:hAnsi="Arial" w:cs="Arial"/>
                <w:color w:val="165788"/>
              </w:rPr>
            </w:pPr>
            <w:r w:rsidRPr="00EF2DC6">
              <w:rPr>
                <w:rFonts w:ascii="Arial" w:hAnsi="Arial" w:cs="Arial"/>
                <w:color w:val="165788"/>
              </w:rPr>
              <w:t xml:space="preserve">Assumptions </w:t>
            </w:r>
            <w:r w:rsidR="00F637B9" w:rsidRPr="00EF2DC6">
              <w:rPr>
                <w:rFonts w:ascii="Arial" w:hAnsi="Arial" w:cs="Arial"/>
                <w:color w:val="165788"/>
              </w:rPr>
              <w:t>included within the Business Plan are based upon advice taken from specialist business planning consultants.</w:t>
            </w:r>
          </w:p>
          <w:p w:rsidR="00C13413" w:rsidRPr="007D187B" w:rsidRDefault="00C13413" w:rsidP="00C13413">
            <w:pPr>
              <w:rPr>
                <w:rFonts w:ascii="Arial" w:hAnsi="Arial" w:cs="Arial"/>
                <w:color w:val="42145F"/>
              </w:rPr>
            </w:pPr>
          </w:p>
          <w:p w:rsidR="00C13413" w:rsidRPr="00EF2DC6" w:rsidRDefault="00C13413" w:rsidP="00C13413">
            <w:pPr>
              <w:rPr>
                <w:rFonts w:ascii="Arial" w:hAnsi="Arial" w:cs="Arial"/>
                <w:color w:val="165788"/>
              </w:rPr>
            </w:pPr>
            <w:r w:rsidRPr="00EF2DC6">
              <w:rPr>
                <w:rFonts w:ascii="Arial" w:hAnsi="Arial" w:cs="Arial"/>
                <w:color w:val="165788"/>
              </w:rPr>
              <w:t>Internal and external audit provide control assurance to Board with detailed scrutiny delegated to the Compliance Committee. Additionally the Compliance Committee review on an annual basis the Board’s Standing Orders and Financial Regulations.</w:t>
            </w:r>
          </w:p>
          <w:p w:rsidR="00C13413" w:rsidRPr="007D187B" w:rsidRDefault="00C13413" w:rsidP="00C13413">
            <w:pPr>
              <w:rPr>
                <w:rFonts w:ascii="Arial" w:hAnsi="Arial" w:cs="Arial"/>
                <w:color w:val="42145F"/>
              </w:rPr>
            </w:pPr>
          </w:p>
          <w:p w:rsidR="00C13413" w:rsidRPr="00EF2DC6" w:rsidRDefault="00C13413" w:rsidP="00C13413">
            <w:pPr>
              <w:ind w:left="34"/>
              <w:rPr>
                <w:rFonts w:ascii="Arial" w:hAnsi="Arial" w:cs="Arial"/>
                <w:b/>
                <w:color w:val="165788"/>
              </w:rPr>
            </w:pPr>
            <w:r w:rsidRPr="00EF2DC6">
              <w:rPr>
                <w:rFonts w:ascii="Arial" w:hAnsi="Arial" w:cs="Arial"/>
                <w:b/>
                <w:color w:val="165788"/>
              </w:rPr>
              <w:t>Risk</w:t>
            </w:r>
          </w:p>
          <w:p w:rsidR="006C727F" w:rsidRDefault="006C727F" w:rsidP="00C13413">
            <w:pPr>
              <w:ind w:left="34"/>
              <w:rPr>
                <w:rFonts w:ascii="Arial" w:hAnsi="Arial" w:cs="Arial"/>
                <w:color w:val="165788"/>
              </w:rPr>
            </w:pPr>
            <w:r w:rsidRPr="00EF2DC6">
              <w:rPr>
                <w:rFonts w:ascii="Arial" w:hAnsi="Arial" w:cs="Arial"/>
                <w:color w:val="165788"/>
              </w:rPr>
              <w:t>Based on a clear understanding of risk tolerances acceptable to bdht the Board ha</w:t>
            </w:r>
            <w:r w:rsidR="008C0B93" w:rsidRPr="00EF2DC6">
              <w:rPr>
                <w:rFonts w:ascii="Arial" w:hAnsi="Arial" w:cs="Arial"/>
                <w:color w:val="165788"/>
              </w:rPr>
              <w:t>s</w:t>
            </w:r>
            <w:r w:rsidRPr="00EF2DC6">
              <w:rPr>
                <w:rFonts w:ascii="Arial" w:hAnsi="Arial" w:cs="Arial"/>
                <w:color w:val="165788"/>
              </w:rPr>
              <w:t xml:space="preserve"> established the strategic risk appetite for bdht. Against 11 risk classes (encompassing the whole spectrum of bdht business) the risk appetite sets out how open or closed bdht is to risk.</w:t>
            </w:r>
          </w:p>
          <w:p w:rsidR="009239FF" w:rsidRPr="00EF2DC6" w:rsidRDefault="009239FF" w:rsidP="00C13413">
            <w:pPr>
              <w:ind w:left="34"/>
              <w:rPr>
                <w:rFonts w:ascii="Arial" w:hAnsi="Arial" w:cs="Arial"/>
                <w:color w:val="165788"/>
              </w:rPr>
            </w:pPr>
          </w:p>
          <w:p w:rsidR="00C13413" w:rsidRPr="00EF2DC6" w:rsidRDefault="00C13413" w:rsidP="00C13413">
            <w:pPr>
              <w:ind w:left="34"/>
              <w:rPr>
                <w:rFonts w:ascii="Arial" w:hAnsi="Arial" w:cs="Arial"/>
                <w:color w:val="165788"/>
              </w:rPr>
            </w:pPr>
            <w:r w:rsidRPr="00EF2DC6">
              <w:rPr>
                <w:rFonts w:ascii="Arial" w:hAnsi="Arial" w:cs="Arial"/>
                <w:color w:val="165788"/>
              </w:rPr>
              <w:t xml:space="preserve">The annual Business Plan review includes Risk Sensitivity testing and on-going risk management </w:t>
            </w:r>
            <w:r w:rsidR="00435529" w:rsidRPr="00EF2DC6">
              <w:rPr>
                <w:rFonts w:ascii="Arial" w:hAnsi="Arial" w:cs="Arial"/>
                <w:color w:val="165788"/>
              </w:rPr>
              <w:t xml:space="preserve">which </w:t>
            </w:r>
            <w:r w:rsidRPr="00EF2DC6">
              <w:rPr>
                <w:rFonts w:ascii="Arial" w:hAnsi="Arial" w:cs="Arial"/>
                <w:color w:val="165788"/>
              </w:rPr>
              <w:t>is monitored by the Compliance Committee</w:t>
            </w:r>
            <w:r w:rsidR="006C727F" w:rsidRPr="00EF2DC6">
              <w:rPr>
                <w:rFonts w:ascii="Arial" w:hAnsi="Arial" w:cs="Arial"/>
                <w:color w:val="165788"/>
              </w:rPr>
              <w:t>, reporting outcomes to Board quarterly</w:t>
            </w:r>
            <w:r w:rsidRPr="00EF2DC6">
              <w:rPr>
                <w:rFonts w:ascii="Arial" w:hAnsi="Arial" w:cs="Arial"/>
                <w:color w:val="165788"/>
              </w:rPr>
              <w:t>.</w:t>
            </w:r>
          </w:p>
          <w:p w:rsidR="009239FF" w:rsidRPr="006C727F" w:rsidRDefault="009239FF" w:rsidP="00C13413">
            <w:pPr>
              <w:ind w:left="34"/>
              <w:rPr>
                <w:rFonts w:ascii="Arial" w:hAnsi="Arial" w:cs="Arial"/>
                <w:color w:val="009B3A"/>
              </w:rPr>
            </w:pPr>
          </w:p>
          <w:p w:rsidR="00C13413" w:rsidRPr="00EF2DC6" w:rsidRDefault="00C13413" w:rsidP="00C13413">
            <w:pPr>
              <w:rPr>
                <w:rFonts w:ascii="Arial" w:hAnsi="Arial" w:cs="Arial"/>
                <w:b/>
                <w:color w:val="165788"/>
              </w:rPr>
            </w:pPr>
            <w:r w:rsidRPr="00EF2DC6">
              <w:rPr>
                <w:rFonts w:ascii="Arial" w:hAnsi="Arial" w:cs="Arial"/>
                <w:b/>
                <w:color w:val="165788"/>
              </w:rPr>
              <w:t>Risk Identification</w:t>
            </w:r>
          </w:p>
          <w:p w:rsidR="00C13413" w:rsidRPr="00EF2DC6" w:rsidRDefault="00C13413" w:rsidP="00C13413">
            <w:pPr>
              <w:rPr>
                <w:rFonts w:ascii="Arial" w:hAnsi="Arial" w:cs="Arial"/>
                <w:b/>
                <w:color w:val="165788"/>
              </w:rPr>
            </w:pPr>
          </w:p>
          <w:p w:rsidR="00C13413" w:rsidRPr="00EF2DC6" w:rsidRDefault="00C13413" w:rsidP="00C13413">
            <w:pPr>
              <w:rPr>
                <w:rFonts w:ascii="Arial" w:hAnsi="Arial" w:cs="Arial"/>
                <w:color w:val="165788"/>
              </w:rPr>
            </w:pPr>
            <w:r w:rsidRPr="00EF2DC6">
              <w:rPr>
                <w:rFonts w:ascii="Arial" w:hAnsi="Arial" w:cs="Arial"/>
                <w:color w:val="165788"/>
              </w:rPr>
              <w:t>All reports to Board, Committee or EMT requiring approval include the identification of potential risks and strategies to mitigate any such risks. Risks are recorded in the bdht Risk Register. This is subject to annual review by the Compliance Committee</w:t>
            </w:r>
            <w:r w:rsidR="003A0DD5" w:rsidRPr="00EF2DC6">
              <w:rPr>
                <w:rFonts w:ascii="Arial" w:hAnsi="Arial" w:cs="Arial"/>
                <w:color w:val="165788"/>
              </w:rPr>
              <w:t>. The Compliance Committee monitor</w:t>
            </w:r>
            <w:r w:rsidRPr="00EF2DC6">
              <w:rPr>
                <w:rFonts w:ascii="Arial" w:hAnsi="Arial" w:cs="Arial"/>
                <w:color w:val="165788"/>
              </w:rPr>
              <w:t xml:space="preserve"> high level </w:t>
            </w:r>
            <w:r w:rsidR="003A0DD5" w:rsidRPr="00EF2DC6">
              <w:rPr>
                <w:rFonts w:ascii="Arial" w:hAnsi="Arial" w:cs="Arial"/>
                <w:color w:val="165788"/>
              </w:rPr>
              <w:t>risks and are updated with emerging risks on a quarterly basis.</w:t>
            </w:r>
            <w:r w:rsidRPr="00EF2DC6">
              <w:rPr>
                <w:rFonts w:ascii="Arial" w:hAnsi="Arial" w:cs="Arial"/>
                <w:color w:val="165788"/>
              </w:rPr>
              <w:t xml:space="preserve"> </w:t>
            </w:r>
          </w:p>
          <w:p w:rsidR="00B14991" w:rsidRPr="006C727F" w:rsidRDefault="00B14991" w:rsidP="00C13413">
            <w:pPr>
              <w:rPr>
                <w:rFonts w:ascii="Arial" w:hAnsi="Arial" w:cs="Arial"/>
                <w:color w:val="009B3A"/>
              </w:rPr>
            </w:pPr>
          </w:p>
          <w:p w:rsidR="003A0DD5" w:rsidRPr="00EF2DC6" w:rsidRDefault="003A0DD5" w:rsidP="00C13413">
            <w:pPr>
              <w:rPr>
                <w:rFonts w:ascii="Arial" w:hAnsi="Arial" w:cs="Arial"/>
                <w:b/>
                <w:color w:val="165788"/>
              </w:rPr>
            </w:pPr>
            <w:r w:rsidRPr="00EF2DC6">
              <w:rPr>
                <w:rFonts w:ascii="Arial" w:hAnsi="Arial" w:cs="Arial"/>
                <w:b/>
                <w:color w:val="165788"/>
              </w:rPr>
              <w:t>Sale of Social Housing Assets</w:t>
            </w:r>
          </w:p>
          <w:p w:rsidR="003A0DD5" w:rsidRPr="00EF2DC6" w:rsidRDefault="003A0DD5" w:rsidP="00C13413">
            <w:pPr>
              <w:rPr>
                <w:rFonts w:ascii="Arial" w:hAnsi="Arial" w:cs="Arial"/>
                <w:color w:val="165788"/>
              </w:rPr>
            </w:pPr>
          </w:p>
          <w:p w:rsidR="003A0DD5" w:rsidRPr="00EF2DC6" w:rsidRDefault="003A0DD5" w:rsidP="00C13413">
            <w:pPr>
              <w:rPr>
                <w:rFonts w:ascii="Arial" w:hAnsi="Arial" w:cs="Arial"/>
                <w:color w:val="165788"/>
              </w:rPr>
            </w:pPr>
            <w:r w:rsidRPr="00EF2DC6">
              <w:rPr>
                <w:rFonts w:ascii="Arial" w:hAnsi="Arial" w:cs="Arial"/>
                <w:color w:val="165788"/>
              </w:rPr>
              <w:t>Bdht will currently sell social housing assets under three scenarios:</w:t>
            </w:r>
          </w:p>
          <w:p w:rsidR="003A0DD5" w:rsidRPr="00EF2DC6" w:rsidRDefault="003A0DD5" w:rsidP="00C13413">
            <w:pPr>
              <w:rPr>
                <w:rFonts w:ascii="Arial" w:hAnsi="Arial" w:cs="Arial"/>
                <w:color w:val="165788"/>
              </w:rPr>
            </w:pPr>
          </w:p>
          <w:p w:rsidR="003A0DD5" w:rsidRPr="00EF2DC6" w:rsidRDefault="003A0DD5" w:rsidP="00896CA9">
            <w:pPr>
              <w:pStyle w:val="ListParagraph"/>
              <w:numPr>
                <w:ilvl w:val="0"/>
                <w:numId w:val="15"/>
              </w:numPr>
              <w:rPr>
                <w:rFonts w:ascii="Arial" w:hAnsi="Arial" w:cs="Arial"/>
                <w:color w:val="165788"/>
              </w:rPr>
            </w:pPr>
            <w:r w:rsidRPr="00EF2DC6">
              <w:rPr>
                <w:rFonts w:ascii="Arial" w:hAnsi="Arial" w:cs="Arial"/>
                <w:color w:val="165788"/>
              </w:rPr>
              <w:t>Homes subject to the Right to Acquire;</w:t>
            </w:r>
          </w:p>
          <w:p w:rsidR="003A0DD5" w:rsidRPr="00EF2DC6" w:rsidRDefault="003A0DD5" w:rsidP="00896CA9">
            <w:pPr>
              <w:pStyle w:val="ListParagraph"/>
              <w:numPr>
                <w:ilvl w:val="0"/>
                <w:numId w:val="15"/>
              </w:numPr>
              <w:rPr>
                <w:rFonts w:ascii="Arial" w:hAnsi="Arial" w:cs="Arial"/>
                <w:color w:val="165788"/>
              </w:rPr>
            </w:pPr>
            <w:r w:rsidRPr="00EF2DC6">
              <w:rPr>
                <w:rFonts w:ascii="Arial" w:hAnsi="Arial" w:cs="Arial"/>
                <w:color w:val="165788"/>
              </w:rPr>
              <w:t>Homes subject to the Preserved Right to Buy</w:t>
            </w:r>
            <w:r w:rsidR="004D7E15" w:rsidRPr="00EF2DC6">
              <w:rPr>
                <w:rFonts w:ascii="Arial" w:hAnsi="Arial" w:cs="Arial"/>
                <w:color w:val="165788"/>
              </w:rPr>
              <w:t>;</w:t>
            </w:r>
          </w:p>
          <w:p w:rsidR="004D7E15" w:rsidRPr="00EF2DC6" w:rsidRDefault="003A0DD5" w:rsidP="00896CA9">
            <w:pPr>
              <w:pStyle w:val="ListParagraph"/>
              <w:numPr>
                <w:ilvl w:val="0"/>
                <w:numId w:val="15"/>
              </w:numPr>
              <w:rPr>
                <w:rFonts w:ascii="Arial" w:hAnsi="Arial" w:cs="Arial"/>
                <w:color w:val="165788"/>
              </w:rPr>
            </w:pPr>
            <w:r w:rsidRPr="00EF2DC6">
              <w:rPr>
                <w:rFonts w:ascii="Arial" w:hAnsi="Arial" w:cs="Arial"/>
                <w:color w:val="165788"/>
              </w:rPr>
              <w:t xml:space="preserve">Voluntary sales in accordance with a </w:t>
            </w:r>
            <w:r w:rsidR="00EF2DC6">
              <w:rPr>
                <w:rFonts w:ascii="Arial" w:hAnsi="Arial" w:cs="Arial"/>
                <w:color w:val="165788"/>
              </w:rPr>
              <w:t xml:space="preserve">Homes England </w:t>
            </w:r>
            <w:r w:rsidRPr="00EF2DC6">
              <w:rPr>
                <w:rFonts w:ascii="Arial" w:hAnsi="Arial" w:cs="Arial"/>
                <w:color w:val="165788"/>
              </w:rPr>
              <w:t>Development contract</w:t>
            </w:r>
            <w:r w:rsidR="004D7E15" w:rsidRPr="00EF2DC6">
              <w:rPr>
                <w:rFonts w:ascii="Arial" w:hAnsi="Arial" w:cs="Arial"/>
                <w:color w:val="165788"/>
              </w:rPr>
              <w:t>, and</w:t>
            </w:r>
          </w:p>
          <w:p w:rsidR="003A0DD5" w:rsidRPr="00EF2DC6" w:rsidRDefault="004D7E15" w:rsidP="00896CA9">
            <w:pPr>
              <w:pStyle w:val="ListParagraph"/>
              <w:numPr>
                <w:ilvl w:val="0"/>
                <w:numId w:val="15"/>
              </w:numPr>
              <w:rPr>
                <w:rFonts w:ascii="Arial" w:hAnsi="Arial" w:cs="Arial"/>
                <w:color w:val="165788"/>
              </w:rPr>
            </w:pPr>
            <w:r w:rsidRPr="00EF2DC6">
              <w:rPr>
                <w:rFonts w:ascii="Arial" w:hAnsi="Arial" w:cs="Arial"/>
                <w:color w:val="165788"/>
              </w:rPr>
              <w:t>Voluntary sales in respect of providing development subsidy.</w:t>
            </w:r>
          </w:p>
          <w:p w:rsidR="003A0DD5" w:rsidRPr="00EF2DC6" w:rsidRDefault="003A0DD5" w:rsidP="003A0DD5">
            <w:pPr>
              <w:rPr>
                <w:rFonts w:ascii="Arial" w:hAnsi="Arial" w:cs="Arial"/>
                <w:color w:val="165788"/>
              </w:rPr>
            </w:pPr>
          </w:p>
          <w:p w:rsidR="00B15C78" w:rsidRDefault="00EE0478" w:rsidP="00DE7F45">
            <w:pPr>
              <w:rPr>
                <w:rFonts w:ascii="Arial" w:hAnsi="Arial" w:cs="Arial"/>
                <w:color w:val="165788"/>
              </w:rPr>
            </w:pPr>
            <w:r w:rsidRPr="00EF2DC6">
              <w:rPr>
                <w:rFonts w:ascii="Arial" w:hAnsi="Arial" w:cs="Arial"/>
                <w:color w:val="165788"/>
              </w:rPr>
              <w:t>In September 2015 the bdht Board approved participation in the Voluntary Right to Buy scheme (VRTB) as proposed by the National Housing Federation</w:t>
            </w:r>
            <w:r w:rsidR="003A0DD5" w:rsidRPr="00EF2DC6">
              <w:rPr>
                <w:rFonts w:ascii="Arial" w:hAnsi="Arial" w:cs="Arial"/>
                <w:color w:val="165788"/>
              </w:rPr>
              <w:t>.</w:t>
            </w:r>
            <w:r w:rsidRPr="00EF2DC6">
              <w:rPr>
                <w:rFonts w:ascii="Arial" w:hAnsi="Arial" w:cs="Arial"/>
                <w:color w:val="165788"/>
              </w:rPr>
              <w:t xml:space="preserve"> In preparation </w:t>
            </w:r>
            <w:r w:rsidR="00686780" w:rsidRPr="00EF2DC6">
              <w:rPr>
                <w:rFonts w:ascii="Arial" w:hAnsi="Arial" w:cs="Arial"/>
                <w:color w:val="165788"/>
              </w:rPr>
              <w:t xml:space="preserve">for implementation of the VRTB scheme the Board, in </w:t>
            </w:r>
            <w:r w:rsidR="004D7E15" w:rsidRPr="00EF2DC6">
              <w:rPr>
                <w:rFonts w:ascii="Arial" w:hAnsi="Arial" w:cs="Arial"/>
                <w:color w:val="165788"/>
              </w:rPr>
              <w:t>October</w:t>
            </w:r>
            <w:r w:rsidR="00686780" w:rsidRPr="00EF2DC6">
              <w:rPr>
                <w:rFonts w:ascii="Arial" w:hAnsi="Arial" w:cs="Arial"/>
                <w:color w:val="165788"/>
              </w:rPr>
              <w:t xml:space="preserve"> 2016, </w:t>
            </w:r>
            <w:r w:rsidR="004D7E15" w:rsidRPr="00EF2DC6">
              <w:rPr>
                <w:rFonts w:ascii="Arial" w:hAnsi="Arial" w:cs="Arial"/>
                <w:color w:val="165788"/>
              </w:rPr>
              <w:t>consider</w:t>
            </w:r>
            <w:r w:rsidR="00DE7F45" w:rsidRPr="00EF2DC6">
              <w:rPr>
                <w:rFonts w:ascii="Arial" w:hAnsi="Arial" w:cs="Arial"/>
                <w:color w:val="165788"/>
              </w:rPr>
              <w:t>ed</w:t>
            </w:r>
            <w:r w:rsidR="00686780" w:rsidRPr="00EF2DC6">
              <w:rPr>
                <w:rFonts w:ascii="Arial" w:hAnsi="Arial" w:cs="Arial"/>
                <w:color w:val="165788"/>
              </w:rPr>
              <w:t xml:space="preserve"> criteria by which specific properties would be excluded from sale as allowed within scheme rules.</w:t>
            </w:r>
            <w:r w:rsidR="003A0DD5" w:rsidRPr="00EF2DC6">
              <w:rPr>
                <w:rFonts w:ascii="Arial" w:hAnsi="Arial" w:cs="Arial"/>
                <w:color w:val="165788"/>
              </w:rPr>
              <w:t xml:space="preserve"> All proceeds from these and existing sales mechanisms are fed back into the delivery of new social/affordable housing.</w:t>
            </w:r>
          </w:p>
          <w:p w:rsidR="009B2E73" w:rsidRDefault="009B2E73" w:rsidP="00DE7F45">
            <w:pPr>
              <w:rPr>
                <w:rFonts w:ascii="Arial" w:hAnsi="Arial" w:cs="Arial"/>
                <w:color w:val="165788"/>
              </w:rPr>
            </w:pPr>
          </w:p>
          <w:p w:rsidR="009B2E73" w:rsidRPr="007D187B" w:rsidRDefault="009B2E73" w:rsidP="009B2E73">
            <w:pPr>
              <w:rPr>
                <w:rFonts w:ascii="Arial" w:hAnsi="Arial" w:cs="Arial"/>
                <w:b/>
                <w:color w:val="42145F"/>
              </w:rPr>
            </w:pPr>
            <w:r w:rsidRPr="009B2E73">
              <w:rPr>
                <w:rFonts w:ascii="Arial" w:hAnsi="Arial" w:cs="Arial"/>
                <w:color w:val="165788"/>
              </w:rPr>
              <w:t>As set out in last year’s Regulatory Compliance Improvement Plan the Housing and Planning Act 2016 introduced extensive deregulatory measures taking power away from the Regulator and placing responsibility solely with the Boards of registered providers. It is important that Board/board members are fully aware of their responsibilities resulting from de-regulation. A report was presented to Board in May 2017 setting out in detail the changes introduced and responsibilities of the Board/board members.</w:t>
            </w:r>
          </w:p>
        </w:tc>
      </w:tr>
      <w:tr w:rsidR="00B15C78" w:rsidRPr="00B15C78" w:rsidTr="00EF2DC6">
        <w:trPr>
          <w:trHeight w:val="567"/>
        </w:trPr>
        <w:tc>
          <w:tcPr>
            <w:tcW w:w="14029" w:type="dxa"/>
            <w:gridSpan w:val="2"/>
            <w:shd w:val="clear" w:color="auto" w:fill="165788"/>
            <w:vAlign w:val="center"/>
          </w:tcPr>
          <w:p w:rsidR="00B15C78" w:rsidRPr="00971698" w:rsidRDefault="00B15C78" w:rsidP="00B15C78">
            <w:pPr>
              <w:rPr>
                <w:rFonts w:ascii="Arial" w:hAnsi="Arial" w:cs="Arial"/>
                <w:b/>
                <w:color w:val="FFFFFF" w:themeColor="background1"/>
              </w:rPr>
            </w:pPr>
            <w:r w:rsidRPr="00971698">
              <w:rPr>
                <w:rFonts w:ascii="Arial" w:hAnsi="Arial" w:cs="Arial"/>
                <w:b/>
                <w:color w:val="FFFFFF" w:themeColor="background1"/>
              </w:rPr>
              <w:t>Section 1.2 Recommendations for Improvement</w:t>
            </w:r>
          </w:p>
        </w:tc>
      </w:tr>
      <w:tr w:rsidR="0016141C" w:rsidTr="000F6E73">
        <w:trPr>
          <w:trHeight w:val="364"/>
        </w:trPr>
        <w:tc>
          <w:tcPr>
            <w:tcW w:w="14029" w:type="dxa"/>
            <w:gridSpan w:val="2"/>
            <w:shd w:val="clear" w:color="auto" w:fill="auto"/>
            <w:vAlign w:val="center"/>
          </w:tcPr>
          <w:p w:rsidR="0016141C" w:rsidRPr="007D187B" w:rsidRDefault="0016141C" w:rsidP="00B15C78">
            <w:pPr>
              <w:rPr>
                <w:rFonts w:ascii="Arial" w:hAnsi="Arial" w:cs="Arial"/>
                <w:color w:val="42145F"/>
              </w:rPr>
            </w:pPr>
          </w:p>
          <w:p w:rsidR="0016141C" w:rsidRPr="007D187B" w:rsidRDefault="009B2E73" w:rsidP="009A3ED0">
            <w:pPr>
              <w:rPr>
                <w:rFonts w:ascii="Arial" w:hAnsi="Arial" w:cs="Arial"/>
                <w:color w:val="42145F"/>
              </w:rPr>
            </w:pPr>
            <w:r w:rsidRPr="009A3ED0">
              <w:rPr>
                <w:rFonts w:ascii="Arial" w:hAnsi="Arial" w:cs="Arial"/>
                <w:color w:val="165788"/>
              </w:rPr>
              <w:t xml:space="preserve">Bdht will participate in the Voluntary Right to Buy </w:t>
            </w:r>
            <w:r w:rsidR="009A3ED0" w:rsidRPr="009A3ED0">
              <w:rPr>
                <w:rFonts w:ascii="Arial" w:hAnsi="Arial" w:cs="Arial"/>
                <w:color w:val="165788"/>
              </w:rPr>
              <w:t>(</w:t>
            </w:r>
            <w:r w:rsidRPr="009A3ED0">
              <w:rPr>
                <w:rFonts w:ascii="Arial" w:hAnsi="Arial" w:cs="Arial"/>
                <w:color w:val="165788"/>
              </w:rPr>
              <w:t>Midlands</w:t>
            </w:r>
            <w:r w:rsidR="009A3ED0" w:rsidRPr="009A3ED0">
              <w:rPr>
                <w:rFonts w:ascii="Arial" w:hAnsi="Arial" w:cs="Arial"/>
                <w:color w:val="165788"/>
              </w:rPr>
              <w:t>)</w:t>
            </w:r>
            <w:r w:rsidRPr="009A3ED0">
              <w:rPr>
                <w:rFonts w:ascii="Arial" w:hAnsi="Arial" w:cs="Arial"/>
                <w:color w:val="165788"/>
              </w:rPr>
              <w:t xml:space="preserve"> Pilot scheduled to commence during Summer 2018. bdht will </w:t>
            </w:r>
            <w:r w:rsidR="009A3ED0" w:rsidRPr="009A3ED0">
              <w:rPr>
                <w:rFonts w:ascii="Arial" w:hAnsi="Arial" w:cs="Arial"/>
                <w:color w:val="165788"/>
              </w:rPr>
              <w:t>develop detailed procedures and reporting mechanisms to ensure that assets are sold in accordance with agreed policy, that bdht receives full recompense from Government for discounts paid</w:t>
            </w:r>
            <w:r w:rsidR="009239FF">
              <w:rPr>
                <w:rFonts w:ascii="Arial" w:hAnsi="Arial" w:cs="Arial"/>
                <w:color w:val="165788"/>
              </w:rPr>
              <w:t>,</w:t>
            </w:r>
            <w:r w:rsidR="009A3ED0" w:rsidRPr="009A3ED0">
              <w:rPr>
                <w:rFonts w:ascii="Arial" w:hAnsi="Arial" w:cs="Arial"/>
                <w:color w:val="165788"/>
              </w:rPr>
              <w:t xml:space="preserve"> and that units are replaced on a one-for-one basis.</w:t>
            </w:r>
            <w:r w:rsidRPr="009A3ED0">
              <w:rPr>
                <w:rFonts w:ascii="Arial" w:hAnsi="Arial" w:cs="Arial"/>
                <w:color w:val="165788"/>
              </w:rPr>
              <w:t xml:space="preserve">  </w:t>
            </w:r>
          </w:p>
        </w:tc>
      </w:tr>
    </w:tbl>
    <w:p w:rsidR="002977ED" w:rsidRDefault="002977ED"/>
    <w:p w:rsidR="002977ED" w:rsidRDefault="002977ED"/>
    <w:tbl>
      <w:tblPr>
        <w:tblW w:w="14029" w:type="dxa"/>
        <w:tblBorders>
          <w:top w:val="single" w:sz="4" w:space="0" w:color="165788"/>
          <w:left w:val="single" w:sz="4" w:space="0" w:color="165788"/>
          <w:bottom w:val="single" w:sz="4" w:space="0" w:color="165788"/>
          <w:right w:val="single" w:sz="4" w:space="0" w:color="165788"/>
          <w:insideH w:val="single" w:sz="4" w:space="0" w:color="165788"/>
          <w:insideV w:val="single" w:sz="4" w:space="0" w:color="165788"/>
        </w:tblBorders>
        <w:tblLook w:val="04A0" w:firstRow="1" w:lastRow="0" w:firstColumn="1" w:lastColumn="0" w:noHBand="0" w:noVBand="1"/>
      </w:tblPr>
      <w:tblGrid>
        <w:gridCol w:w="988"/>
        <w:gridCol w:w="13041"/>
      </w:tblGrid>
      <w:tr w:rsidR="00D608F3" w:rsidRPr="007C4B1F" w:rsidTr="009A3ED0">
        <w:trPr>
          <w:trHeight w:val="680"/>
        </w:trPr>
        <w:tc>
          <w:tcPr>
            <w:tcW w:w="14029" w:type="dxa"/>
            <w:gridSpan w:val="2"/>
            <w:shd w:val="clear" w:color="auto" w:fill="165788"/>
            <w:vAlign w:val="center"/>
          </w:tcPr>
          <w:p w:rsidR="00D608F3" w:rsidRPr="00D74016" w:rsidRDefault="00D608F3" w:rsidP="00B15C78">
            <w:pPr>
              <w:ind w:left="454" w:hanging="454"/>
              <w:rPr>
                <w:rFonts w:ascii="Arial" w:hAnsi="Arial" w:cs="Arial"/>
                <w:b/>
                <w:color w:val="FFFFFF" w:themeColor="background1"/>
              </w:rPr>
            </w:pPr>
            <w:r w:rsidRPr="00D74016">
              <w:rPr>
                <w:rFonts w:ascii="Arial" w:hAnsi="Arial" w:cs="Arial"/>
                <w:b/>
                <w:color w:val="FFFFFF" w:themeColor="background1"/>
              </w:rPr>
              <w:t>2 Specific expectations applicable to all registered providers</w:t>
            </w:r>
          </w:p>
        </w:tc>
      </w:tr>
      <w:tr w:rsidR="004D38B9" w:rsidRPr="007C4B1F" w:rsidTr="009A3ED0">
        <w:trPr>
          <w:trHeight w:val="319"/>
        </w:trPr>
        <w:tc>
          <w:tcPr>
            <w:tcW w:w="988" w:type="dxa"/>
            <w:shd w:val="clear" w:color="auto" w:fill="auto"/>
            <w:vAlign w:val="center"/>
          </w:tcPr>
          <w:p w:rsidR="004D38B9" w:rsidRPr="00414434" w:rsidRDefault="004D38B9" w:rsidP="00E751C1">
            <w:pPr>
              <w:ind w:left="880" w:hanging="880"/>
              <w:jc w:val="center"/>
              <w:rPr>
                <w:rFonts w:ascii="Arial" w:hAnsi="Arial" w:cs="Arial"/>
                <w:b/>
              </w:rPr>
            </w:pPr>
            <w:r w:rsidRPr="00414434">
              <w:rPr>
                <w:rFonts w:ascii="Arial" w:hAnsi="Arial" w:cs="Arial"/>
                <w:b/>
              </w:rPr>
              <w:t>2.1</w:t>
            </w:r>
          </w:p>
        </w:tc>
        <w:tc>
          <w:tcPr>
            <w:tcW w:w="13041" w:type="dxa"/>
            <w:shd w:val="clear" w:color="auto" w:fill="auto"/>
          </w:tcPr>
          <w:p w:rsidR="004D38B9" w:rsidRPr="00414434" w:rsidRDefault="004D38B9" w:rsidP="004D38B9">
            <w:pPr>
              <w:rPr>
                <w:rFonts w:ascii="Arial" w:hAnsi="Arial" w:cs="Arial"/>
                <w:b/>
              </w:rPr>
            </w:pPr>
            <w:r w:rsidRPr="00414434">
              <w:rPr>
                <w:rFonts w:ascii="Arial" w:hAnsi="Arial" w:cs="Arial"/>
                <w:b/>
              </w:rPr>
              <w:t>Registered providers shall adopt and comply with an appropriate code of governance. Governance arrangements should establish and maintain clear roles, responsibilities and accountabilities for their board, chair and chief executive and ensure appropriate probity arrangements are in place.  Areas of non-compliance with their chosen code of governance should be explained. Registered providers should assess the effectiveness of their governance arrangements at least once a year.</w:t>
            </w:r>
          </w:p>
          <w:p w:rsidR="004D38B9" w:rsidRPr="00414434" w:rsidRDefault="004D38B9" w:rsidP="004D38B9">
            <w:pPr>
              <w:rPr>
                <w:rFonts w:ascii="Arial" w:hAnsi="Arial" w:cs="Arial"/>
                <w:b/>
              </w:rPr>
            </w:pPr>
          </w:p>
        </w:tc>
      </w:tr>
      <w:tr w:rsidR="00E751C1" w:rsidRPr="007C4B1F" w:rsidTr="009A3ED0">
        <w:trPr>
          <w:trHeight w:val="454"/>
        </w:trPr>
        <w:tc>
          <w:tcPr>
            <w:tcW w:w="14029" w:type="dxa"/>
            <w:gridSpan w:val="2"/>
            <w:shd w:val="clear" w:color="auto" w:fill="auto"/>
            <w:vAlign w:val="center"/>
          </w:tcPr>
          <w:p w:rsidR="00E751C1" w:rsidRPr="009A3ED0" w:rsidRDefault="00E751C1" w:rsidP="003E40A9">
            <w:pPr>
              <w:rPr>
                <w:rFonts w:ascii="Arial" w:hAnsi="Arial" w:cs="Arial"/>
                <w:b/>
              </w:rPr>
            </w:pPr>
            <w:r w:rsidRPr="009A3ED0">
              <w:rPr>
                <w:rFonts w:ascii="Arial" w:hAnsi="Arial" w:cs="Arial"/>
                <w:b/>
              </w:rPr>
              <w:t xml:space="preserve">Code of Practice: </w:t>
            </w:r>
            <w:r w:rsidRPr="009A3ED0">
              <w:rPr>
                <w:rFonts w:ascii="Arial" w:hAnsi="Arial" w:cs="Arial"/>
                <w:b/>
                <w:bCs/>
              </w:rPr>
              <w:t>Specific expectations applicable to all registered providers</w:t>
            </w:r>
            <w:r w:rsidR="003E40A9" w:rsidRPr="009A3ED0">
              <w:rPr>
                <w:rFonts w:ascii="Arial" w:hAnsi="Arial" w:cs="Arial"/>
                <w:b/>
                <w:bCs/>
              </w:rPr>
              <w:t>; paragraph 2.1</w:t>
            </w:r>
          </w:p>
        </w:tc>
      </w:tr>
      <w:tr w:rsidR="00E751C1" w:rsidRPr="007C4B1F" w:rsidTr="009A3ED0">
        <w:trPr>
          <w:trHeight w:val="319"/>
        </w:trPr>
        <w:tc>
          <w:tcPr>
            <w:tcW w:w="988" w:type="dxa"/>
            <w:shd w:val="clear" w:color="auto" w:fill="auto"/>
            <w:vAlign w:val="center"/>
          </w:tcPr>
          <w:p w:rsidR="00E751C1" w:rsidRPr="00E751C1" w:rsidRDefault="00E751C1" w:rsidP="00E751C1">
            <w:pPr>
              <w:ind w:left="880" w:hanging="880"/>
              <w:jc w:val="center"/>
              <w:rPr>
                <w:rFonts w:ascii="Arial" w:hAnsi="Arial" w:cs="Arial"/>
              </w:rPr>
            </w:pPr>
            <w:r w:rsidRPr="00E751C1">
              <w:rPr>
                <w:rFonts w:ascii="Arial" w:hAnsi="Arial" w:cs="Arial"/>
              </w:rPr>
              <w:t>12</w:t>
            </w:r>
          </w:p>
        </w:tc>
        <w:tc>
          <w:tcPr>
            <w:tcW w:w="13041" w:type="dxa"/>
            <w:shd w:val="clear" w:color="auto" w:fill="auto"/>
          </w:tcPr>
          <w:p w:rsidR="00E751C1" w:rsidRPr="00E751C1" w:rsidRDefault="00E751C1" w:rsidP="004D38B9">
            <w:pPr>
              <w:rPr>
                <w:rFonts w:ascii="Arial" w:hAnsi="Arial" w:cs="Arial"/>
                <w:b/>
              </w:rPr>
            </w:pPr>
            <w:r w:rsidRPr="00E751C1">
              <w:rPr>
                <w:rFonts w:ascii="Arial" w:hAnsi="Arial" w:cs="Arial"/>
              </w:rPr>
              <w:t>Registered providers should demonstrate their actions are consistent with both the principles and relevant provisions of their code of governance and overall contribute to sound governance</w:t>
            </w:r>
          </w:p>
        </w:tc>
      </w:tr>
      <w:tr w:rsidR="00E751C1" w:rsidRPr="007C4B1F" w:rsidTr="009A3ED0">
        <w:trPr>
          <w:trHeight w:val="319"/>
        </w:trPr>
        <w:tc>
          <w:tcPr>
            <w:tcW w:w="988" w:type="dxa"/>
            <w:shd w:val="clear" w:color="auto" w:fill="auto"/>
            <w:vAlign w:val="center"/>
          </w:tcPr>
          <w:p w:rsidR="00E751C1" w:rsidRPr="00E751C1" w:rsidRDefault="00F85219" w:rsidP="00E751C1">
            <w:pPr>
              <w:ind w:left="880" w:hanging="880"/>
              <w:jc w:val="center"/>
              <w:rPr>
                <w:rFonts w:ascii="Arial" w:hAnsi="Arial" w:cs="Arial"/>
              </w:rPr>
            </w:pPr>
            <w:r>
              <w:rPr>
                <w:rFonts w:ascii="Arial" w:hAnsi="Arial" w:cs="Arial"/>
              </w:rPr>
              <w:t>13</w:t>
            </w:r>
          </w:p>
        </w:tc>
        <w:tc>
          <w:tcPr>
            <w:tcW w:w="13041" w:type="dxa"/>
            <w:shd w:val="clear" w:color="auto" w:fill="auto"/>
          </w:tcPr>
          <w:p w:rsidR="00E751C1" w:rsidRPr="00F85219" w:rsidRDefault="00F85219" w:rsidP="004D38B9">
            <w:pPr>
              <w:rPr>
                <w:rFonts w:ascii="Arial" w:hAnsi="Arial" w:cs="Arial"/>
                <w:b/>
              </w:rPr>
            </w:pPr>
            <w:r w:rsidRPr="00F85219">
              <w:rPr>
                <w:rFonts w:ascii="Arial" w:hAnsi="Arial" w:cs="Arial"/>
              </w:rPr>
              <w:t>The regulator anticipates that an assessment of the effectiveness of governance arrangements may vary in terms of depth and scope in line with the internal and external environment within which the registered provider operates. Some parts of a governance review may be carried out to a different timescale than an annual review where this helps ensure the quality and effectiveness of the review. Where this is the case, the annual assessment of the effectiveness of governance arrangements should give assurance on the timescale and progress of work on these areas.</w:t>
            </w:r>
          </w:p>
        </w:tc>
      </w:tr>
      <w:tr w:rsidR="00D74016" w:rsidRPr="007C4B1F" w:rsidTr="009A3ED0">
        <w:trPr>
          <w:trHeight w:val="397"/>
        </w:trPr>
        <w:tc>
          <w:tcPr>
            <w:tcW w:w="14029" w:type="dxa"/>
            <w:gridSpan w:val="2"/>
            <w:shd w:val="clear" w:color="auto" w:fill="165788"/>
            <w:vAlign w:val="center"/>
          </w:tcPr>
          <w:p w:rsidR="00D74016" w:rsidRPr="009A3ED0" w:rsidRDefault="00D74016" w:rsidP="00D74016">
            <w:pPr>
              <w:autoSpaceDE w:val="0"/>
              <w:autoSpaceDN w:val="0"/>
              <w:adjustRightInd w:val="0"/>
              <w:rPr>
                <w:rFonts w:ascii="Arial" w:hAnsi="Arial" w:cs="Arial"/>
                <w:b/>
                <w:color w:val="FFFFFF" w:themeColor="background1"/>
              </w:rPr>
            </w:pPr>
            <w:r w:rsidRPr="009A3ED0">
              <w:rPr>
                <w:rFonts w:ascii="Arial" w:hAnsi="Arial" w:cs="Arial"/>
                <w:b/>
                <w:color w:val="FFFFFF" w:themeColor="background1"/>
              </w:rPr>
              <w:t>Bdht Compliance Position</w:t>
            </w:r>
            <w:r w:rsidR="003A0DD5" w:rsidRPr="009A3ED0">
              <w:rPr>
                <w:rFonts w:ascii="Arial" w:hAnsi="Arial" w:cs="Arial"/>
                <w:b/>
                <w:color w:val="FFFFFF" w:themeColor="background1"/>
              </w:rPr>
              <w:t xml:space="preserve"> - Compliant</w:t>
            </w:r>
          </w:p>
        </w:tc>
      </w:tr>
      <w:tr w:rsidR="00D74016" w:rsidRPr="007C4B1F" w:rsidTr="009A3ED0">
        <w:trPr>
          <w:trHeight w:val="319"/>
        </w:trPr>
        <w:tc>
          <w:tcPr>
            <w:tcW w:w="14029" w:type="dxa"/>
            <w:gridSpan w:val="2"/>
            <w:shd w:val="clear" w:color="auto" w:fill="auto"/>
          </w:tcPr>
          <w:p w:rsidR="00D74016" w:rsidRPr="009A3ED0" w:rsidRDefault="00CF7831" w:rsidP="004D38B9">
            <w:pPr>
              <w:rPr>
                <w:rFonts w:ascii="Arial" w:hAnsi="Arial" w:cs="Arial"/>
                <w:color w:val="165788"/>
              </w:rPr>
            </w:pPr>
            <w:r w:rsidRPr="009A3ED0">
              <w:rPr>
                <w:rFonts w:ascii="Arial" w:hAnsi="Arial" w:cs="Arial"/>
                <w:color w:val="165788"/>
              </w:rPr>
              <w:t>Bdht have adopted the NHF Code of Governance (updated 2015) and NHF Code of Conduct (2012 Edition) and accompanying model code for individual Board members, staff members and involved residents, “Conduct Becoming”.</w:t>
            </w:r>
          </w:p>
          <w:p w:rsidR="00CF7831" w:rsidRPr="009A3ED0" w:rsidRDefault="00CF7831" w:rsidP="004D38B9">
            <w:pPr>
              <w:rPr>
                <w:rFonts w:ascii="Arial" w:hAnsi="Arial" w:cs="Arial"/>
                <w:color w:val="165788"/>
              </w:rPr>
            </w:pPr>
          </w:p>
          <w:p w:rsidR="00283127" w:rsidRDefault="00CF7831" w:rsidP="009239FF">
            <w:pPr>
              <w:rPr>
                <w:rFonts w:ascii="Arial" w:hAnsi="Arial" w:cs="Arial"/>
                <w:color w:val="009B3A"/>
              </w:rPr>
            </w:pPr>
            <w:r w:rsidRPr="009A3ED0">
              <w:rPr>
                <w:rFonts w:ascii="Arial" w:hAnsi="Arial" w:cs="Arial"/>
                <w:color w:val="165788"/>
              </w:rPr>
              <w:t xml:space="preserve">The Compliance Committee undertake a detailed assessment of compliance with both Codes on an </w:t>
            </w:r>
            <w:r w:rsidR="0035754F" w:rsidRPr="009A3ED0">
              <w:rPr>
                <w:rFonts w:ascii="Arial" w:hAnsi="Arial" w:cs="Arial"/>
                <w:color w:val="165788"/>
              </w:rPr>
              <w:t>annual basis (the last completed reviews for each are: Code of Conduct November 201</w:t>
            </w:r>
            <w:r w:rsidR="009A3ED0" w:rsidRPr="009A3ED0">
              <w:rPr>
                <w:rFonts w:ascii="Arial" w:hAnsi="Arial" w:cs="Arial"/>
                <w:color w:val="165788"/>
              </w:rPr>
              <w:t>7</w:t>
            </w:r>
            <w:r w:rsidR="0035754F" w:rsidRPr="009A3ED0">
              <w:rPr>
                <w:rFonts w:ascii="Arial" w:hAnsi="Arial" w:cs="Arial"/>
                <w:color w:val="165788"/>
              </w:rPr>
              <w:t xml:space="preserve"> and Code of </w:t>
            </w:r>
            <w:r w:rsidR="00885487" w:rsidRPr="009A3ED0">
              <w:rPr>
                <w:rFonts w:ascii="Arial" w:hAnsi="Arial" w:cs="Arial"/>
                <w:color w:val="165788"/>
              </w:rPr>
              <w:t>G</w:t>
            </w:r>
            <w:r w:rsidR="0035754F" w:rsidRPr="009A3ED0">
              <w:rPr>
                <w:rFonts w:ascii="Arial" w:hAnsi="Arial" w:cs="Arial"/>
                <w:color w:val="165788"/>
              </w:rPr>
              <w:t xml:space="preserve">overnance </w:t>
            </w:r>
            <w:r w:rsidR="009A3ED0" w:rsidRPr="009A3ED0">
              <w:rPr>
                <w:rFonts w:ascii="Arial" w:hAnsi="Arial" w:cs="Arial"/>
                <w:color w:val="165788"/>
              </w:rPr>
              <w:t>April 2018</w:t>
            </w:r>
            <w:r w:rsidR="0035754F" w:rsidRPr="009A3ED0">
              <w:rPr>
                <w:rFonts w:ascii="Arial" w:hAnsi="Arial" w:cs="Arial"/>
                <w:color w:val="165788"/>
              </w:rPr>
              <w:t>). The Committee report the compliance position, together with any areas of non-compliance and recommendations to Board for approval.</w:t>
            </w:r>
          </w:p>
          <w:p w:rsidR="00283127" w:rsidRPr="00283127" w:rsidRDefault="00283127" w:rsidP="00283127">
            <w:pPr>
              <w:ind w:left="360"/>
              <w:rPr>
                <w:rFonts w:ascii="Arial" w:hAnsi="Arial" w:cs="Arial"/>
                <w:color w:val="009B3A"/>
              </w:rPr>
            </w:pPr>
          </w:p>
        </w:tc>
      </w:tr>
      <w:tr w:rsidR="004D38B9" w:rsidRPr="007C4B1F" w:rsidTr="009A3ED0">
        <w:trPr>
          <w:trHeight w:val="318"/>
        </w:trPr>
        <w:tc>
          <w:tcPr>
            <w:tcW w:w="988" w:type="dxa"/>
            <w:shd w:val="clear" w:color="auto" w:fill="auto"/>
            <w:vAlign w:val="center"/>
          </w:tcPr>
          <w:p w:rsidR="004D38B9" w:rsidRPr="00971698" w:rsidRDefault="004D38B9" w:rsidP="00E751C1">
            <w:pPr>
              <w:ind w:left="880" w:hanging="880"/>
              <w:jc w:val="center"/>
              <w:rPr>
                <w:rFonts w:ascii="Arial" w:hAnsi="Arial" w:cs="Arial"/>
                <w:b/>
              </w:rPr>
            </w:pPr>
            <w:r w:rsidRPr="00971698">
              <w:rPr>
                <w:rFonts w:ascii="Arial" w:hAnsi="Arial" w:cs="Arial"/>
                <w:b/>
              </w:rPr>
              <w:t>2.2</w:t>
            </w:r>
          </w:p>
        </w:tc>
        <w:tc>
          <w:tcPr>
            <w:tcW w:w="13041" w:type="dxa"/>
            <w:shd w:val="clear" w:color="auto" w:fill="auto"/>
          </w:tcPr>
          <w:p w:rsidR="004D38B9" w:rsidRPr="00971698" w:rsidRDefault="004D38B9" w:rsidP="004D38B9">
            <w:pPr>
              <w:tabs>
                <w:tab w:val="left" w:pos="33"/>
              </w:tabs>
              <w:ind w:left="33" w:hanging="4"/>
              <w:rPr>
                <w:rFonts w:ascii="Arial" w:hAnsi="Arial" w:cs="Arial"/>
                <w:b/>
              </w:rPr>
            </w:pPr>
            <w:r w:rsidRPr="00971698">
              <w:rPr>
                <w:rFonts w:ascii="Arial" w:hAnsi="Arial" w:cs="Arial"/>
                <w:b/>
              </w:rPr>
              <w:t xml:space="preserve">Registered providers shall ensure that they manage their affairs with an appropriate degree of skill, independence, diligence, effectiveness, prudence and foresight. </w:t>
            </w:r>
          </w:p>
          <w:p w:rsidR="003E40A9" w:rsidRPr="00971698" w:rsidRDefault="003E40A9" w:rsidP="004D38B9">
            <w:pPr>
              <w:tabs>
                <w:tab w:val="left" w:pos="33"/>
              </w:tabs>
              <w:ind w:left="33" w:hanging="4"/>
              <w:rPr>
                <w:rFonts w:ascii="Arial" w:hAnsi="Arial" w:cs="Arial"/>
                <w:b/>
              </w:rPr>
            </w:pPr>
          </w:p>
        </w:tc>
      </w:tr>
      <w:tr w:rsidR="00F85219" w:rsidRPr="007C4B1F" w:rsidTr="009A3ED0">
        <w:trPr>
          <w:trHeight w:val="397"/>
        </w:trPr>
        <w:tc>
          <w:tcPr>
            <w:tcW w:w="14029" w:type="dxa"/>
            <w:gridSpan w:val="2"/>
            <w:shd w:val="clear" w:color="auto" w:fill="auto"/>
            <w:vAlign w:val="center"/>
          </w:tcPr>
          <w:p w:rsidR="00F85219" w:rsidRPr="009A3ED0" w:rsidRDefault="00F85219" w:rsidP="00F85219">
            <w:pPr>
              <w:rPr>
                <w:rFonts w:ascii="Arial" w:hAnsi="Arial" w:cs="Arial"/>
                <w:b/>
              </w:rPr>
            </w:pPr>
            <w:r w:rsidRPr="009A3ED0">
              <w:rPr>
                <w:rFonts w:ascii="Arial" w:hAnsi="Arial" w:cs="Arial"/>
                <w:b/>
              </w:rPr>
              <w:t xml:space="preserve">Code of Practice: </w:t>
            </w:r>
            <w:r w:rsidRPr="009A3ED0">
              <w:rPr>
                <w:rFonts w:ascii="Arial" w:hAnsi="Arial" w:cs="Arial"/>
                <w:b/>
                <w:bCs/>
              </w:rPr>
              <w:t>Specific expectations applicable to all registered providers</w:t>
            </w:r>
            <w:r w:rsidR="003E40A9" w:rsidRPr="009A3ED0">
              <w:rPr>
                <w:rFonts w:ascii="Arial" w:hAnsi="Arial" w:cs="Arial"/>
                <w:b/>
                <w:bCs/>
              </w:rPr>
              <w:t>; paragraph 2.2</w:t>
            </w:r>
          </w:p>
        </w:tc>
      </w:tr>
      <w:tr w:rsidR="00F85219" w:rsidRPr="007C4B1F" w:rsidTr="009A3ED0">
        <w:trPr>
          <w:trHeight w:val="318"/>
        </w:trPr>
        <w:tc>
          <w:tcPr>
            <w:tcW w:w="988" w:type="dxa"/>
            <w:shd w:val="clear" w:color="auto" w:fill="auto"/>
            <w:vAlign w:val="center"/>
          </w:tcPr>
          <w:p w:rsidR="00F85219" w:rsidRPr="00F85219" w:rsidRDefault="00F85219" w:rsidP="00F85219">
            <w:pPr>
              <w:ind w:left="880" w:hanging="880"/>
              <w:jc w:val="center"/>
              <w:rPr>
                <w:rFonts w:ascii="Arial" w:hAnsi="Arial" w:cs="Arial"/>
              </w:rPr>
            </w:pPr>
            <w:r>
              <w:rPr>
                <w:rFonts w:ascii="Arial" w:hAnsi="Arial" w:cs="Arial"/>
              </w:rPr>
              <w:t>14</w:t>
            </w:r>
          </w:p>
        </w:tc>
        <w:tc>
          <w:tcPr>
            <w:tcW w:w="13041" w:type="dxa"/>
            <w:shd w:val="clear" w:color="auto" w:fill="auto"/>
          </w:tcPr>
          <w:p w:rsidR="00F85219" w:rsidRPr="00F85219" w:rsidRDefault="00F85219" w:rsidP="00F85219">
            <w:pPr>
              <w:tabs>
                <w:tab w:val="left" w:pos="33"/>
              </w:tabs>
              <w:ind w:left="33" w:hanging="4"/>
              <w:rPr>
                <w:rFonts w:ascii="Arial" w:hAnsi="Arial" w:cs="Arial"/>
                <w:b/>
              </w:rPr>
            </w:pPr>
            <w:r w:rsidRPr="00F85219">
              <w:rPr>
                <w:rFonts w:ascii="Arial" w:hAnsi="Arial" w:cs="Arial"/>
              </w:rPr>
              <w:t>Paragraph 2.2 of the Standard complements the board’s responsibilities to act lawfully and responsibly. Compliance will include both behavioural aspects, such as ensuring that the board and executive foster a culture of constructive challenge and debate, and good governance practices.</w:t>
            </w:r>
          </w:p>
        </w:tc>
      </w:tr>
      <w:tr w:rsidR="00F85219" w:rsidRPr="007C4B1F" w:rsidTr="009A3ED0">
        <w:trPr>
          <w:trHeight w:val="318"/>
        </w:trPr>
        <w:tc>
          <w:tcPr>
            <w:tcW w:w="988" w:type="dxa"/>
            <w:shd w:val="clear" w:color="auto" w:fill="auto"/>
            <w:vAlign w:val="center"/>
          </w:tcPr>
          <w:p w:rsidR="00F85219" w:rsidRPr="00F85219" w:rsidRDefault="00F85219" w:rsidP="00F85219">
            <w:pPr>
              <w:ind w:left="880" w:hanging="880"/>
              <w:jc w:val="center"/>
              <w:rPr>
                <w:rFonts w:ascii="Arial" w:hAnsi="Arial" w:cs="Arial"/>
              </w:rPr>
            </w:pPr>
            <w:r>
              <w:rPr>
                <w:rFonts w:ascii="Arial" w:hAnsi="Arial" w:cs="Arial"/>
              </w:rPr>
              <w:t>15</w:t>
            </w:r>
          </w:p>
        </w:tc>
        <w:tc>
          <w:tcPr>
            <w:tcW w:w="13041" w:type="dxa"/>
            <w:shd w:val="clear" w:color="auto" w:fill="auto"/>
          </w:tcPr>
          <w:p w:rsidR="00F85219" w:rsidRPr="00F85219" w:rsidRDefault="00F85219" w:rsidP="00F85219">
            <w:pPr>
              <w:autoSpaceDE w:val="0"/>
              <w:autoSpaceDN w:val="0"/>
              <w:adjustRightInd w:val="0"/>
              <w:rPr>
                <w:rFonts w:ascii="Arial" w:hAnsi="Arial" w:cs="Arial"/>
                <w:color w:val="000000"/>
                <w:lang w:eastAsia="en-GB" w:bidi="ar-SA"/>
              </w:rPr>
            </w:pPr>
            <w:r w:rsidRPr="00F85219">
              <w:rPr>
                <w:rFonts w:ascii="Arial" w:hAnsi="Arial" w:cs="Arial"/>
                <w:color w:val="000000"/>
                <w:lang w:eastAsia="en-GB" w:bidi="ar-SA"/>
              </w:rPr>
              <w:t xml:space="preserve">To ensure that registered providers have the requisite skills and capability to perform their functions, the regulator would expect them to: </w:t>
            </w:r>
          </w:p>
          <w:p w:rsidR="00F85219" w:rsidRPr="00F85219" w:rsidRDefault="00F85219" w:rsidP="00896CA9">
            <w:pPr>
              <w:pStyle w:val="ListParagraph"/>
              <w:numPr>
                <w:ilvl w:val="0"/>
                <w:numId w:val="11"/>
              </w:numPr>
              <w:autoSpaceDE w:val="0"/>
              <w:autoSpaceDN w:val="0"/>
              <w:adjustRightInd w:val="0"/>
              <w:spacing w:after="188"/>
              <w:ind w:left="459" w:hanging="426"/>
              <w:rPr>
                <w:rFonts w:ascii="Arial" w:hAnsi="Arial" w:cs="Arial"/>
                <w:color w:val="000000"/>
                <w:lang w:eastAsia="en-GB" w:bidi="ar-SA"/>
              </w:rPr>
            </w:pPr>
            <w:r w:rsidRPr="00F85219">
              <w:rPr>
                <w:rFonts w:ascii="Arial" w:hAnsi="Arial" w:cs="Arial"/>
                <w:color w:val="000000"/>
                <w:lang w:eastAsia="en-GB" w:bidi="ar-SA"/>
              </w:rPr>
              <w:t xml:space="preserve">have an appropriate skills strategy to address the needs of the business </w:t>
            </w:r>
          </w:p>
          <w:p w:rsidR="00F85219" w:rsidRPr="00F85219" w:rsidRDefault="00F85219" w:rsidP="00896CA9">
            <w:pPr>
              <w:pStyle w:val="ListParagraph"/>
              <w:numPr>
                <w:ilvl w:val="0"/>
                <w:numId w:val="11"/>
              </w:numPr>
              <w:autoSpaceDE w:val="0"/>
              <w:autoSpaceDN w:val="0"/>
              <w:adjustRightInd w:val="0"/>
              <w:spacing w:after="188"/>
              <w:ind w:left="459" w:hanging="426"/>
              <w:rPr>
                <w:rFonts w:ascii="Arial" w:hAnsi="Arial" w:cs="Arial"/>
                <w:color w:val="000000"/>
                <w:lang w:eastAsia="en-GB" w:bidi="ar-SA"/>
              </w:rPr>
            </w:pPr>
            <w:r w:rsidRPr="00F85219">
              <w:rPr>
                <w:rFonts w:ascii="Arial" w:hAnsi="Arial" w:cs="Arial"/>
                <w:color w:val="000000"/>
                <w:lang w:eastAsia="en-GB" w:bidi="ar-SA"/>
              </w:rPr>
              <w:t xml:space="preserve">regularly assess whether boards and management have the right competencies, experience, and technical knowledge appropriate to the size, scale and risk profile of the organisation </w:t>
            </w:r>
          </w:p>
          <w:p w:rsidR="00F85219" w:rsidRPr="00F85219" w:rsidRDefault="00F85219" w:rsidP="00896CA9">
            <w:pPr>
              <w:pStyle w:val="ListParagraph"/>
              <w:numPr>
                <w:ilvl w:val="0"/>
                <w:numId w:val="11"/>
              </w:numPr>
              <w:autoSpaceDE w:val="0"/>
              <w:autoSpaceDN w:val="0"/>
              <w:adjustRightInd w:val="0"/>
              <w:ind w:left="459" w:hanging="426"/>
              <w:rPr>
                <w:rFonts w:ascii="Arial" w:hAnsi="Arial" w:cs="Arial"/>
                <w:color w:val="000000"/>
                <w:lang w:eastAsia="en-GB" w:bidi="ar-SA"/>
              </w:rPr>
            </w:pPr>
            <w:r w:rsidRPr="00F85219">
              <w:rPr>
                <w:rFonts w:ascii="Arial" w:hAnsi="Arial" w:cs="Arial"/>
                <w:color w:val="000000"/>
                <w:lang w:eastAsia="en-GB" w:bidi="ar-SA"/>
              </w:rPr>
              <w:t xml:space="preserve">ensure that all material decisions are made with appropriate internal/external expertise or advice and should satisfy themselves of the impartiality of any support or advice </w:t>
            </w:r>
          </w:p>
          <w:p w:rsidR="00F85219" w:rsidRPr="00F85219" w:rsidRDefault="00F85219" w:rsidP="009A3ED0">
            <w:pPr>
              <w:pStyle w:val="ListParagraph"/>
              <w:numPr>
                <w:ilvl w:val="0"/>
                <w:numId w:val="11"/>
              </w:numPr>
              <w:autoSpaceDE w:val="0"/>
              <w:autoSpaceDN w:val="0"/>
              <w:adjustRightInd w:val="0"/>
              <w:ind w:left="459" w:hanging="426"/>
              <w:rPr>
                <w:rFonts w:ascii="Arial" w:hAnsi="Arial" w:cs="Arial"/>
                <w:b/>
              </w:rPr>
            </w:pPr>
            <w:r w:rsidRPr="00F85219">
              <w:rPr>
                <w:rFonts w:ascii="Arial" w:hAnsi="Arial" w:cs="Arial"/>
                <w:color w:val="000000"/>
                <w:lang w:eastAsia="en-GB" w:bidi="ar-SA"/>
              </w:rPr>
              <w:t>have plans to address any skills gaps identified (including through bringing in external skills), and such plans should be monitored to ensure that they are followed through</w:t>
            </w:r>
            <w:r w:rsidR="009A3ED0">
              <w:rPr>
                <w:rFonts w:ascii="Arial" w:hAnsi="Arial" w:cs="Arial"/>
                <w:color w:val="000000"/>
                <w:lang w:eastAsia="en-GB" w:bidi="ar-SA"/>
              </w:rPr>
              <w:t>.</w:t>
            </w:r>
            <w:r w:rsidRPr="00F85219">
              <w:rPr>
                <w:rFonts w:ascii="Arial" w:hAnsi="Arial" w:cs="Arial"/>
                <w:color w:val="000000"/>
                <w:lang w:eastAsia="en-GB" w:bidi="ar-SA"/>
              </w:rPr>
              <w:t xml:space="preserve"> </w:t>
            </w:r>
          </w:p>
        </w:tc>
      </w:tr>
      <w:tr w:rsidR="00F85219" w:rsidRPr="007C4B1F" w:rsidTr="009A3ED0">
        <w:trPr>
          <w:trHeight w:val="318"/>
        </w:trPr>
        <w:tc>
          <w:tcPr>
            <w:tcW w:w="988" w:type="dxa"/>
            <w:shd w:val="clear" w:color="auto" w:fill="auto"/>
            <w:vAlign w:val="center"/>
          </w:tcPr>
          <w:p w:rsidR="00F85219" w:rsidRDefault="00F85219" w:rsidP="00F85219">
            <w:pPr>
              <w:ind w:left="880" w:hanging="880"/>
              <w:jc w:val="center"/>
              <w:rPr>
                <w:rFonts w:ascii="Arial" w:hAnsi="Arial" w:cs="Arial"/>
              </w:rPr>
            </w:pPr>
            <w:r>
              <w:rPr>
                <w:rFonts w:ascii="Arial" w:hAnsi="Arial" w:cs="Arial"/>
              </w:rPr>
              <w:t>16</w:t>
            </w:r>
          </w:p>
        </w:tc>
        <w:tc>
          <w:tcPr>
            <w:tcW w:w="13041" w:type="dxa"/>
            <w:shd w:val="clear" w:color="auto" w:fill="auto"/>
          </w:tcPr>
          <w:p w:rsidR="00F85219" w:rsidRPr="00F85219" w:rsidRDefault="00F85219" w:rsidP="00F85219">
            <w:pPr>
              <w:autoSpaceDE w:val="0"/>
              <w:autoSpaceDN w:val="0"/>
              <w:adjustRightInd w:val="0"/>
              <w:rPr>
                <w:rFonts w:ascii="Arial" w:hAnsi="Arial" w:cs="Arial"/>
                <w:color w:val="000000"/>
                <w:lang w:eastAsia="en-GB" w:bidi="ar-SA"/>
              </w:rPr>
            </w:pPr>
            <w:r w:rsidRPr="00F85219">
              <w:rPr>
                <w:rFonts w:ascii="Arial" w:hAnsi="Arial" w:cs="Arial"/>
              </w:rPr>
              <w:t>In order to determine the appropriate level of independence, registered providers should have regard to their adopted code of governance, relevant legal requirements, e.g. charity law and to their business model. In some businesses, influence is inherent in the corporate structure of the registered provider (for example a profit making registered provider which is a subsidiary of a group). In other cases, influence may not be inherent in the corporate structure but result from close associations the registered provider has with other organisations or individuals.</w:t>
            </w:r>
          </w:p>
        </w:tc>
      </w:tr>
      <w:tr w:rsidR="00F85219" w:rsidRPr="007C4B1F" w:rsidTr="009A3ED0">
        <w:trPr>
          <w:trHeight w:val="318"/>
        </w:trPr>
        <w:tc>
          <w:tcPr>
            <w:tcW w:w="988" w:type="dxa"/>
            <w:shd w:val="clear" w:color="auto" w:fill="auto"/>
            <w:vAlign w:val="center"/>
          </w:tcPr>
          <w:p w:rsidR="00F85219" w:rsidRDefault="00F85219" w:rsidP="00F85219">
            <w:pPr>
              <w:ind w:left="880" w:hanging="880"/>
              <w:jc w:val="center"/>
              <w:rPr>
                <w:rFonts w:ascii="Arial" w:hAnsi="Arial" w:cs="Arial"/>
              </w:rPr>
            </w:pPr>
            <w:r>
              <w:rPr>
                <w:rFonts w:ascii="Arial" w:hAnsi="Arial" w:cs="Arial"/>
              </w:rPr>
              <w:t>17</w:t>
            </w:r>
          </w:p>
        </w:tc>
        <w:tc>
          <w:tcPr>
            <w:tcW w:w="13041" w:type="dxa"/>
            <w:shd w:val="clear" w:color="auto" w:fill="auto"/>
          </w:tcPr>
          <w:p w:rsidR="00F85219" w:rsidRPr="00F85219" w:rsidRDefault="00F85219" w:rsidP="00F85219">
            <w:pPr>
              <w:autoSpaceDE w:val="0"/>
              <w:autoSpaceDN w:val="0"/>
              <w:adjustRightInd w:val="0"/>
              <w:rPr>
                <w:rFonts w:ascii="Arial" w:hAnsi="Arial" w:cs="Arial"/>
                <w:color w:val="000000"/>
                <w:lang w:eastAsia="en-GB" w:bidi="ar-SA"/>
              </w:rPr>
            </w:pPr>
            <w:r w:rsidRPr="00F85219">
              <w:rPr>
                <w:rFonts w:ascii="Arial" w:hAnsi="Arial" w:cs="Arial"/>
              </w:rPr>
              <w:t>In managing their affairs with an appropriate degree of independence, board members should exercise independence of judgement and act at all times in the best interests of the registered provider. There should also be appropriate mechanisms in place to manage any conflicts of interest to demonstrate probity and value for money.</w:t>
            </w:r>
          </w:p>
        </w:tc>
      </w:tr>
      <w:tr w:rsidR="00F85219" w:rsidRPr="007C4B1F" w:rsidTr="009A3ED0">
        <w:trPr>
          <w:trHeight w:val="318"/>
        </w:trPr>
        <w:tc>
          <w:tcPr>
            <w:tcW w:w="988" w:type="dxa"/>
            <w:shd w:val="clear" w:color="auto" w:fill="auto"/>
            <w:vAlign w:val="center"/>
          </w:tcPr>
          <w:p w:rsidR="00F85219" w:rsidRDefault="00F85219" w:rsidP="00F85219">
            <w:pPr>
              <w:ind w:left="880" w:hanging="880"/>
              <w:jc w:val="center"/>
              <w:rPr>
                <w:rFonts w:ascii="Arial" w:hAnsi="Arial" w:cs="Arial"/>
              </w:rPr>
            </w:pPr>
            <w:r>
              <w:rPr>
                <w:rFonts w:ascii="Arial" w:hAnsi="Arial" w:cs="Arial"/>
              </w:rPr>
              <w:t>18</w:t>
            </w:r>
          </w:p>
        </w:tc>
        <w:tc>
          <w:tcPr>
            <w:tcW w:w="13041" w:type="dxa"/>
            <w:shd w:val="clear" w:color="auto" w:fill="auto"/>
          </w:tcPr>
          <w:p w:rsidR="00F85219" w:rsidRPr="00F85219" w:rsidRDefault="00F85219" w:rsidP="00F85219">
            <w:pPr>
              <w:autoSpaceDE w:val="0"/>
              <w:autoSpaceDN w:val="0"/>
              <w:adjustRightInd w:val="0"/>
              <w:rPr>
                <w:rFonts w:ascii="Arial" w:hAnsi="Arial" w:cs="Arial"/>
              </w:rPr>
            </w:pPr>
            <w:r w:rsidRPr="00F85219">
              <w:rPr>
                <w:rFonts w:ascii="Arial" w:hAnsi="Arial" w:cs="Arial"/>
              </w:rPr>
              <w:t>Registered providers should not be subject to undue influence from third parties that could reasonably be expected to lead to non-compliance with regulatory standards.</w:t>
            </w:r>
          </w:p>
        </w:tc>
      </w:tr>
      <w:tr w:rsidR="00F85219" w:rsidRPr="007C4B1F" w:rsidTr="007764A6">
        <w:trPr>
          <w:trHeight w:val="397"/>
        </w:trPr>
        <w:tc>
          <w:tcPr>
            <w:tcW w:w="14029" w:type="dxa"/>
            <w:gridSpan w:val="2"/>
            <w:shd w:val="clear" w:color="auto" w:fill="165788"/>
            <w:vAlign w:val="center"/>
          </w:tcPr>
          <w:p w:rsidR="00F85219" w:rsidRPr="007764A6" w:rsidRDefault="00F85219" w:rsidP="00F85219">
            <w:pPr>
              <w:autoSpaceDE w:val="0"/>
              <w:autoSpaceDN w:val="0"/>
              <w:adjustRightInd w:val="0"/>
              <w:rPr>
                <w:rFonts w:ascii="Arial" w:hAnsi="Arial" w:cs="Arial"/>
                <w:b/>
                <w:color w:val="FFFFFF" w:themeColor="background1"/>
              </w:rPr>
            </w:pPr>
            <w:r w:rsidRPr="007764A6">
              <w:rPr>
                <w:rFonts w:ascii="Arial" w:hAnsi="Arial" w:cs="Arial"/>
                <w:b/>
                <w:color w:val="FFFFFF" w:themeColor="background1"/>
              </w:rPr>
              <w:t>Bdht Compliance Position</w:t>
            </w:r>
            <w:r w:rsidR="0035754F" w:rsidRPr="007764A6">
              <w:rPr>
                <w:rFonts w:ascii="Arial" w:hAnsi="Arial" w:cs="Arial"/>
                <w:b/>
                <w:color w:val="FFFFFF" w:themeColor="background1"/>
              </w:rPr>
              <w:t xml:space="preserve"> - Compliant</w:t>
            </w:r>
          </w:p>
        </w:tc>
      </w:tr>
      <w:tr w:rsidR="00F85219" w:rsidRPr="007C4B1F" w:rsidTr="009A3ED0">
        <w:trPr>
          <w:trHeight w:val="318"/>
        </w:trPr>
        <w:tc>
          <w:tcPr>
            <w:tcW w:w="14029" w:type="dxa"/>
            <w:gridSpan w:val="2"/>
            <w:shd w:val="clear" w:color="auto" w:fill="auto"/>
          </w:tcPr>
          <w:p w:rsidR="00F85219" w:rsidRPr="007764A6" w:rsidRDefault="00245796" w:rsidP="00B14991">
            <w:pPr>
              <w:rPr>
                <w:rFonts w:ascii="Arial" w:hAnsi="Arial" w:cs="Arial"/>
                <w:color w:val="165788"/>
              </w:rPr>
            </w:pPr>
            <w:r w:rsidRPr="007764A6">
              <w:rPr>
                <w:rFonts w:ascii="Arial" w:hAnsi="Arial" w:cs="Arial"/>
                <w:color w:val="165788"/>
              </w:rPr>
              <w:t>Members of the Board and Executive have jointly undertaken workshops externally facilitated by Meta to understand respective roles in the organisation and to foster a culture of constructive challenge and debate aligned to the cultural values of the whole organisation. Board agendas have been designed to promote strategic debate between the Board and the Executive from strategy formulation to completion.</w:t>
            </w:r>
          </w:p>
          <w:p w:rsidR="00245796" w:rsidRPr="00283127" w:rsidRDefault="00245796" w:rsidP="00245796">
            <w:pPr>
              <w:ind w:left="33" w:hanging="4"/>
              <w:rPr>
                <w:rFonts w:ascii="Arial" w:hAnsi="Arial" w:cs="Arial"/>
                <w:color w:val="009B3A"/>
              </w:rPr>
            </w:pPr>
          </w:p>
          <w:p w:rsidR="000D3B0C" w:rsidRPr="007764A6" w:rsidRDefault="00245796" w:rsidP="00283127">
            <w:pPr>
              <w:rPr>
                <w:rFonts w:ascii="Arial" w:hAnsi="Arial" w:cs="Arial"/>
                <w:color w:val="165788"/>
              </w:rPr>
            </w:pPr>
            <w:r w:rsidRPr="007764A6">
              <w:rPr>
                <w:rFonts w:ascii="Arial" w:hAnsi="Arial" w:cs="Arial"/>
                <w:color w:val="165788"/>
              </w:rPr>
              <w:t>bdht Board comprises 10 Members, 6 independents plus 4 residents</w:t>
            </w:r>
            <w:r w:rsidR="00283127" w:rsidRPr="007764A6">
              <w:rPr>
                <w:rFonts w:ascii="Arial" w:hAnsi="Arial" w:cs="Arial"/>
                <w:color w:val="165788"/>
              </w:rPr>
              <w:t>.</w:t>
            </w:r>
          </w:p>
          <w:p w:rsidR="000D3B0C" w:rsidRDefault="000D3B0C" w:rsidP="00283127">
            <w:pPr>
              <w:rPr>
                <w:rFonts w:ascii="Arial" w:hAnsi="Arial" w:cs="Arial"/>
                <w:color w:val="009B3A"/>
              </w:rPr>
            </w:pPr>
          </w:p>
          <w:p w:rsidR="00283127" w:rsidRPr="007764A6" w:rsidRDefault="00F70780" w:rsidP="00283127">
            <w:pPr>
              <w:rPr>
                <w:rFonts w:ascii="Arial" w:hAnsi="Arial" w:cs="Arial"/>
                <w:color w:val="165788"/>
              </w:rPr>
            </w:pPr>
            <w:r w:rsidRPr="007764A6">
              <w:rPr>
                <w:rFonts w:ascii="Arial" w:hAnsi="Arial" w:cs="Arial"/>
                <w:color w:val="165788"/>
              </w:rPr>
              <w:t xml:space="preserve">A Board Member skills audit is undertaken every three years with succession and recruitment strategies designed to ensure Board retain a mix of essential skills. </w:t>
            </w:r>
          </w:p>
          <w:p w:rsidR="00283127" w:rsidRDefault="00283127" w:rsidP="00283127">
            <w:pPr>
              <w:rPr>
                <w:rFonts w:ascii="Arial" w:hAnsi="Arial" w:cs="Arial"/>
                <w:color w:val="009B3A"/>
              </w:rPr>
            </w:pPr>
          </w:p>
          <w:p w:rsidR="000D3B0C" w:rsidRPr="007764A6" w:rsidRDefault="00283127" w:rsidP="00283127">
            <w:pPr>
              <w:rPr>
                <w:rFonts w:ascii="Arial" w:hAnsi="Arial" w:cs="Arial"/>
                <w:color w:val="165788"/>
              </w:rPr>
            </w:pPr>
            <w:r w:rsidRPr="007764A6">
              <w:rPr>
                <w:rFonts w:ascii="Arial" w:hAnsi="Arial" w:cs="Arial"/>
                <w:color w:val="165788"/>
              </w:rPr>
              <w:t>During 2015/16 Board performance was subject to an externally facilitated three-yearly review of Board Member skills</w:t>
            </w:r>
            <w:r w:rsidR="007764A6" w:rsidRPr="007764A6">
              <w:rPr>
                <w:rFonts w:ascii="Arial" w:hAnsi="Arial" w:cs="Arial"/>
                <w:color w:val="165788"/>
              </w:rPr>
              <w:t>, this will be repeated during 2018</w:t>
            </w:r>
            <w:r w:rsidR="007764A6">
              <w:rPr>
                <w:rFonts w:ascii="Arial" w:hAnsi="Arial" w:cs="Arial"/>
                <w:color w:val="165788"/>
              </w:rPr>
              <w:t xml:space="preserve"> and incorporated within the Corporate Plan</w:t>
            </w:r>
            <w:r w:rsidRPr="007764A6">
              <w:rPr>
                <w:rFonts w:ascii="Arial" w:hAnsi="Arial" w:cs="Arial"/>
                <w:color w:val="165788"/>
              </w:rPr>
              <w:t xml:space="preserve">. </w:t>
            </w:r>
          </w:p>
          <w:p w:rsidR="00F70780" w:rsidRPr="00283127" w:rsidRDefault="00F70780" w:rsidP="00F70780">
            <w:pPr>
              <w:ind w:left="33" w:hanging="4"/>
              <w:rPr>
                <w:rFonts w:ascii="Arial" w:hAnsi="Arial" w:cs="Arial"/>
                <w:color w:val="009B3A"/>
              </w:rPr>
            </w:pPr>
          </w:p>
          <w:p w:rsidR="00F70780" w:rsidRPr="007764A6" w:rsidRDefault="00F70780" w:rsidP="00F70780">
            <w:pPr>
              <w:ind w:left="880" w:hanging="851"/>
              <w:rPr>
                <w:rFonts w:ascii="Arial" w:hAnsi="Arial" w:cs="Arial"/>
                <w:color w:val="165788"/>
              </w:rPr>
            </w:pPr>
            <w:r w:rsidRPr="007764A6">
              <w:rPr>
                <w:rFonts w:ascii="Arial" w:hAnsi="Arial" w:cs="Arial"/>
                <w:color w:val="165788"/>
              </w:rPr>
              <w:t>bdht comply with the NHF Code of Governance, Articles of Association and charity law.</w:t>
            </w:r>
          </w:p>
          <w:p w:rsidR="00F70780" w:rsidRPr="007764A6" w:rsidRDefault="00F70780" w:rsidP="00F70780">
            <w:pPr>
              <w:ind w:left="880" w:hanging="851"/>
              <w:rPr>
                <w:rFonts w:ascii="Arial" w:hAnsi="Arial" w:cs="Arial"/>
                <w:color w:val="165788"/>
              </w:rPr>
            </w:pPr>
          </w:p>
          <w:p w:rsidR="00F70780" w:rsidRPr="007764A6" w:rsidRDefault="00B14991" w:rsidP="00B14991">
            <w:pPr>
              <w:ind w:left="29"/>
              <w:rPr>
                <w:rFonts w:ascii="Arial" w:hAnsi="Arial" w:cs="Arial"/>
                <w:color w:val="165788"/>
              </w:rPr>
            </w:pPr>
            <w:r w:rsidRPr="007764A6">
              <w:rPr>
                <w:rFonts w:ascii="Arial" w:hAnsi="Arial" w:cs="Arial"/>
                <w:color w:val="165788"/>
              </w:rPr>
              <w:t xml:space="preserve">Board members demonstrate independence of judgement whilst acting in the best interests of bdht. </w:t>
            </w:r>
            <w:r w:rsidR="00F70780" w:rsidRPr="007764A6">
              <w:rPr>
                <w:rFonts w:ascii="Arial" w:hAnsi="Arial" w:cs="Arial"/>
                <w:color w:val="165788"/>
              </w:rPr>
              <w:t>These requirements are set out within the Code of Governance and Code of Conduct adopted by bdht with specific mechanisms in place to report and record</w:t>
            </w:r>
            <w:r w:rsidR="002735B0" w:rsidRPr="007764A6">
              <w:rPr>
                <w:rFonts w:ascii="Arial" w:hAnsi="Arial" w:cs="Arial"/>
                <w:color w:val="165788"/>
              </w:rPr>
              <w:t xml:space="preserve"> conflicts of interest.</w:t>
            </w:r>
          </w:p>
          <w:p w:rsidR="004D7E15" w:rsidRPr="007764A6" w:rsidRDefault="004D7E15" w:rsidP="00B14991">
            <w:pPr>
              <w:ind w:left="29"/>
              <w:rPr>
                <w:rFonts w:ascii="Arial" w:hAnsi="Arial" w:cs="Arial"/>
                <w:color w:val="165788"/>
              </w:rPr>
            </w:pPr>
          </w:p>
          <w:p w:rsidR="004D7E15" w:rsidRPr="007764A6" w:rsidRDefault="004D7E15" w:rsidP="00B14991">
            <w:pPr>
              <w:ind w:left="29"/>
              <w:rPr>
                <w:rFonts w:ascii="Arial" w:hAnsi="Arial" w:cs="Arial"/>
                <w:color w:val="165788"/>
              </w:rPr>
            </w:pPr>
            <w:r w:rsidRPr="007764A6">
              <w:rPr>
                <w:rFonts w:ascii="Arial" w:hAnsi="Arial" w:cs="Arial"/>
                <w:color w:val="165788"/>
              </w:rPr>
              <w:t xml:space="preserve">During </w:t>
            </w:r>
            <w:r w:rsidR="000D3B0C" w:rsidRPr="007764A6">
              <w:rPr>
                <w:rFonts w:ascii="Arial" w:hAnsi="Arial" w:cs="Arial"/>
                <w:color w:val="165788"/>
              </w:rPr>
              <w:t>201</w:t>
            </w:r>
            <w:r w:rsidR="00E568AB">
              <w:rPr>
                <w:rFonts w:ascii="Arial" w:hAnsi="Arial" w:cs="Arial"/>
                <w:color w:val="165788"/>
              </w:rPr>
              <w:t>7</w:t>
            </w:r>
            <w:r w:rsidRPr="007764A6">
              <w:rPr>
                <w:rFonts w:ascii="Arial" w:hAnsi="Arial" w:cs="Arial"/>
                <w:color w:val="165788"/>
              </w:rPr>
              <w:t xml:space="preserve"> all Board Members completed a Disclosure of Interest Form to identify any potential relationships with third parties. No issues of concern arose from this.</w:t>
            </w:r>
          </w:p>
          <w:p w:rsidR="002735B0" w:rsidRPr="007764A6" w:rsidRDefault="002735B0" w:rsidP="00F70780">
            <w:pPr>
              <w:ind w:left="880" w:hanging="851"/>
              <w:rPr>
                <w:rFonts w:ascii="Arial" w:hAnsi="Arial" w:cs="Arial"/>
                <w:color w:val="165788"/>
              </w:rPr>
            </w:pPr>
          </w:p>
          <w:p w:rsidR="002735B0" w:rsidRPr="007764A6" w:rsidRDefault="002735B0" w:rsidP="000D3B0C">
            <w:pPr>
              <w:ind w:left="24" w:firstLine="5"/>
              <w:rPr>
                <w:rFonts w:ascii="Arial" w:hAnsi="Arial" w:cs="Arial"/>
                <w:color w:val="165788"/>
              </w:rPr>
            </w:pPr>
            <w:r w:rsidRPr="007764A6">
              <w:rPr>
                <w:rFonts w:ascii="Arial" w:hAnsi="Arial" w:cs="Arial"/>
                <w:color w:val="165788"/>
              </w:rPr>
              <w:t>The bdht Articles of Association and Board composition ensure that the board are not subject to undue influence from third parties.</w:t>
            </w:r>
          </w:p>
          <w:p w:rsidR="00B53CDC" w:rsidRPr="00283127" w:rsidRDefault="00B53CDC" w:rsidP="000D3B0C">
            <w:pPr>
              <w:ind w:left="24" w:firstLine="5"/>
              <w:rPr>
                <w:rFonts w:ascii="Arial" w:hAnsi="Arial" w:cs="Arial"/>
                <w:color w:val="009B3A"/>
              </w:rPr>
            </w:pPr>
          </w:p>
        </w:tc>
      </w:tr>
      <w:tr w:rsidR="00F85219" w:rsidRPr="007C4B1F" w:rsidTr="009A3ED0">
        <w:trPr>
          <w:trHeight w:val="318"/>
        </w:trPr>
        <w:tc>
          <w:tcPr>
            <w:tcW w:w="988" w:type="dxa"/>
            <w:shd w:val="clear" w:color="auto" w:fill="auto"/>
            <w:vAlign w:val="center"/>
          </w:tcPr>
          <w:p w:rsidR="00F85219" w:rsidRPr="00414434" w:rsidRDefault="00F85219" w:rsidP="00F85219">
            <w:pPr>
              <w:ind w:left="880" w:hanging="880"/>
              <w:jc w:val="center"/>
              <w:rPr>
                <w:rFonts w:ascii="Arial" w:hAnsi="Arial" w:cs="Arial"/>
                <w:b/>
              </w:rPr>
            </w:pPr>
            <w:r w:rsidRPr="00414434">
              <w:rPr>
                <w:rFonts w:ascii="Arial" w:hAnsi="Arial" w:cs="Arial"/>
                <w:b/>
              </w:rPr>
              <w:t>2.3</w:t>
            </w:r>
          </w:p>
        </w:tc>
        <w:tc>
          <w:tcPr>
            <w:tcW w:w="13041" w:type="dxa"/>
            <w:shd w:val="clear" w:color="auto" w:fill="auto"/>
          </w:tcPr>
          <w:p w:rsidR="00F85219" w:rsidRPr="00414434" w:rsidRDefault="00F85219" w:rsidP="00F85219">
            <w:pPr>
              <w:ind w:left="33" w:hanging="4"/>
              <w:rPr>
                <w:rFonts w:ascii="Arial" w:hAnsi="Arial" w:cs="Arial"/>
                <w:b/>
              </w:rPr>
            </w:pPr>
            <w:r w:rsidRPr="00414434">
              <w:rPr>
                <w:rFonts w:ascii="Arial" w:hAnsi="Arial" w:cs="Arial"/>
                <w:b/>
              </w:rPr>
              <w:t>Registered providers shall communicate in a timely manner with the regulator on material issues that relate to non-compliance or potential non-compliance with the standards.</w:t>
            </w:r>
          </w:p>
          <w:p w:rsidR="00F85219" w:rsidRPr="00414434" w:rsidRDefault="00F85219" w:rsidP="00F85219">
            <w:pPr>
              <w:ind w:left="33" w:hanging="4"/>
              <w:rPr>
                <w:rFonts w:ascii="Arial" w:hAnsi="Arial" w:cs="Arial"/>
                <w:b/>
              </w:rPr>
            </w:pPr>
          </w:p>
        </w:tc>
      </w:tr>
      <w:tr w:rsidR="00AC4612" w:rsidRPr="007C4B1F" w:rsidTr="009A3ED0">
        <w:trPr>
          <w:trHeight w:val="397"/>
        </w:trPr>
        <w:tc>
          <w:tcPr>
            <w:tcW w:w="14029" w:type="dxa"/>
            <w:gridSpan w:val="2"/>
            <w:shd w:val="clear" w:color="auto" w:fill="auto"/>
            <w:vAlign w:val="center"/>
          </w:tcPr>
          <w:p w:rsidR="00AC4612" w:rsidRPr="00971698" w:rsidRDefault="00AC4612" w:rsidP="00F85219">
            <w:pPr>
              <w:ind w:left="33" w:hanging="4"/>
              <w:rPr>
                <w:rFonts w:ascii="Arial" w:hAnsi="Arial" w:cs="Arial"/>
                <w:b/>
                <w:color w:val="000000" w:themeColor="text1"/>
              </w:rPr>
            </w:pPr>
            <w:r w:rsidRPr="00971698">
              <w:rPr>
                <w:rFonts w:ascii="Arial" w:hAnsi="Arial" w:cs="Arial"/>
                <w:b/>
                <w:color w:val="000000" w:themeColor="text1"/>
              </w:rPr>
              <w:t xml:space="preserve">Code of Practice: </w:t>
            </w:r>
            <w:r w:rsidRPr="00971698">
              <w:rPr>
                <w:rFonts w:ascii="Arial" w:hAnsi="Arial" w:cs="Arial"/>
                <w:b/>
                <w:bCs/>
                <w:color w:val="000000" w:themeColor="text1"/>
              </w:rPr>
              <w:t>Specific expectations applicable to all registered providers</w:t>
            </w:r>
            <w:r w:rsidR="003E40A9" w:rsidRPr="00971698">
              <w:rPr>
                <w:rFonts w:ascii="Arial" w:hAnsi="Arial" w:cs="Arial"/>
                <w:b/>
                <w:bCs/>
                <w:color w:val="000000" w:themeColor="text1"/>
              </w:rPr>
              <w:t>; paragraph 2.3</w:t>
            </w:r>
          </w:p>
        </w:tc>
      </w:tr>
      <w:tr w:rsidR="00AC4612" w:rsidRPr="007C4B1F" w:rsidTr="009A3ED0">
        <w:trPr>
          <w:trHeight w:val="318"/>
        </w:trPr>
        <w:tc>
          <w:tcPr>
            <w:tcW w:w="988" w:type="dxa"/>
            <w:shd w:val="clear" w:color="auto" w:fill="auto"/>
            <w:vAlign w:val="center"/>
          </w:tcPr>
          <w:p w:rsidR="00AC4612" w:rsidRPr="00AC4612" w:rsidRDefault="00AC4612" w:rsidP="00AC4612">
            <w:pPr>
              <w:ind w:left="880" w:hanging="880"/>
              <w:jc w:val="center"/>
              <w:rPr>
                <w:rFonts w:ascii="Arial" w:hAnsi="Arial" w:cs="Arial"/>
              </w:rPr>
            </w:pPr>
            <w:r w:rsidRPr="00AC4612">
              <w:rPr>
                <w:rFonts w:ascii="Arial" w:hAnsi="Arial" w:cs="Arial"/>
              </w:rPr>
              <w:t>19</w:t>
            </w:r>
          </w:p>
        </w:tc>
        <w:tc>
          <w:tcPr>
            <w:tcW w:w="13041" w:type="dxa"/>
            <w:shd w:val="clear" w:color="auto" w:fill="auto"/>
          </w:tcPr>
          <w:p w:rsidR="00AC4612" w:rsidRPr="00AC4612" w:rsidRDefault="00AC4612" w:rsidP="00F85219">
            <w:pPr>
              <w:ind w:left="33" w:hanging="4"/>
              <w:rPr>
                <w:rFonts w:ascii="Arial" w:hAnsi="Arial" w:cs="Arial"/>
                <w:b/>
              </w:rPr>
            </w:pPr>
            <w:r w:rsidRPr="00AC4612">
              <w:rPr>
                <w:rFonts w:ascii="Arial" w:hAnsi="Arial" w:cs="Arial"/>
              </w:rPr>
              <w:t>The regulator requires registered providers to tell it at the earliest opportunity about any material issues that indicate there has been or may be a breach of the standards. This might include, for example, material frauds, liquidity issues, breaches of lenders covenants or failures of governance. This transparency is a fundamental pillar of the co-regulatory approach.</w:t>
            </w:r>
          </w:p>
        </w:tc>
      </w:tr>
      <w:tr w:rsidR="00AC4612" w:rsidRPr="007C4B1F" w:rsidTr="009A3ED0">
        <w:trPr>
          <w:trHeight w:val="318"/>
        </w:trPr>
        <w:tc>
          <w:tcPr>
            <w:tcW w:w="988" w:type="dxa"/>
            <w:shd w:val="clear" w:color="auto" w:fill="auto"/>
            <w:vAlign w:val="center"/>
          </w:tcPr>
          <w:p w:rsidR="00AC4612" w:rsidRPr="00AC4612" w:rsidRDefault="00AC4612" w:rsidP="00AC4612">
            <w:pPr>
              <w:ind w:left="880" w:hanging="880"/>
              <w:jc w:val="center"/>
              <w:rPr>
                <w:rFonts w:ascii="Arial" w:hAnsi="Arial" w:cs="Arial"/>
              </w:rPr>
            </w:pPr>
            <w:r>
              <w:rPr>
                <w:rFonts w:ascii="Arial" w:hAnsi="Arial" w:cs="Arial"/>
              </w:rPr>
              <w:t>20</w:t>
            </w:r>
          </w:p>
        </w:tc>
        <w:tc>
          <w:tcPr>
            <w:tcW w:w="13041" w:type="dxa"/>
            <w:shd w:val="clear" w:color="auto" w:fill="auto"/>
          </w:tcPr>
          <w:p w:rsidR="00AC4612" w:rsidRPr="00AC4612" w:rsidRDefault="00AC4612" w:rsidP="00F85219">
            <w:pPr>
              <w:ind w:left="33" w:hanging="4"/>
              <w:rPr>
                <w:rFonts w:ascii="Arial" w:hAnsi="Arial" w:cs="Arial"/>
                <w:b/>
              </w:rPr>
            </w:pPr>
            <w:r w:rsidRPr="00AC4612">
              <w:rPr>
                <w:rFonts w:ascii="Arial" w:hAnsi="Arial" w:cs="Arial"/>
              </w:rPr>
              <w:t>In deciding what is material, registered providers should be mindful of the regulator’s role in the consumer standards. The regulator may only intervene where there has been a breach of the standard which has, or may cause, serious detriment. In relation to the consumer standards registered providers are only obliged to disclose those matters which have or may relate to such a breach.</w:t>
            </w:r>
          </w:p>
        </w:tc>
      </w:tr>
      <w:tr w:rsidR="00F85219" w:rsidRPr="007C4B1F" w:rsidTr="007764A6">
        <w:trPr>
          <w:trHeight w:val="397"/>
        </w:trPr>
        <w:tc>
          <w:tcPr>
            <w:tcW w:w="14029" w:type="dxa"/>
            <w:gridSpan w:val="2"/>
            <w:shd w:val="clear" w:color="auto" w:fill="165788"/>
            <w:vAlign w:val="center"/>
          </w:tcPr>
          <w:p w:rsidR="00F85219" w:rsidRPr="007764A6" w:rsidRDefault="00F85219" w:rsidP="002735B0">
            <w:pPr>
              <w:autoSpaceDE w:val="0"/>
              <w:autoSpaceDN w:val="0"/>
              <w:adjustRightInd w:val="0"/>
              <w:rPr>
                <w:rFonts w:ascii="Arial" w:hAnsi="Arial" w:cs="Arial"/>
                <w:b/>
                <w:color w:val="FFFFFF" w:themeColor="background1"/>
              </w:rPr>
            </w:pPr>
            <w:r w:rsidRPr="007764A6">
              <w:rPr>
                <w:rFonts w:ascii="Arial" w:hAnsi="Arial" w:cs="Arial"/>
                <w:b/>
                <w:color w:val="FFFFFF" w:themeColor="background1"/>
              </w:rPr>
              <w:t>Bdht Compliance Position</w:t>
            </w:r>
            <w:r w:rsidR="002735B0" w:rsidRPr="007764A6">
              <w:rPr>
                <w:rFonts w:ascii="Arial" w:hAnsi="Arial" w:cs="Arial"/>
                <w:b/>
                <w:color w:val="FFFFFF" w:themeColor="background1"/>
              </w:rPr>
              <w:t xml:space="preserve"> - Compliant</w:t>
            </w:r>
          </w:p>
        </w:tc>
      </w:tr>
      <w:tr w:rsidR="00F85219" w:rsidRPr="007C4B1F" w:rsidTr="009A3ED0">
        <w:trPr>
          <w:trHeight w:val="318"/>
        </w:trPr>
        <w:tc>
          <w:tcPr>
            <w:tcW w:w="14029" w:type="dxa"/>
            <w:gridSpan w:val="2"/>
            <w:shd w:val="clear" w:color="auto" w:fill="auto"/>
          </w:tcPr>
          <w:p w:rsidR="00F85219" w:rsidRPr="007764A6" w:rsidRDefault="002735B0" w:rsidP="007764A6">
            <w:pPr>
              <w:rPr>
                <w:rFonts w:ascii="Arial" w:hAnsi="Arial" w:cs="Arial"/>
                <w:color w:val="165788"/>
              </w:rPr>
            </w:pPr>
            <w:r w:rsidRPr="007764A6">
              <w:rPr>
                <w:rFonts w:ascii="Arial" w:hAnsi="Arial" w:cs="Arial"/>
                <w:color w:val="165788"/>
              </w:rPr>
              <w:t xml:space="preserve">bdht is committed to transparent and timely communication with the regulator. </w:t>
            </w:r>
            <w:r w:rsidR="007764A6" w:rsidRPr="007764A6">
              <w:rPr>
                <w:rFonts w:ascii="Arial" w:hAnsi="Arial" w:cs="Arial"/>
                <w:color w:val="165788"/>
              </w:rPr>
              <w:t>As part of year-end (2017/18) validation checks an issue was identified in late March in respect of the gas servicing position for 27 properties which had exceeded the gas servicing anniversary due date. The Regulator was informed together with details of the agreed action plan to mitigate against any potential repetition.</w:t>
            </w:r>
          </w:p>
        </w:tc>
      </w:tr>
      <w:tr w:rsidR="00F85219" w:rsidRPr="007C4B1F" w:rsidTr="009A3ED0">
        <w:trPr>
          <w:trHeight w:val="318"/>
        </w:trPr>
        <w:tc>
          <w:tcPr>
            <w:tcW w:w="988" w:type="dxa"/>
            <w:shd w:val="clear" w:color="auto" w:fill="auto"/>
            <w:vAlign w:val="center"/>
          </w:tcPr>
          <w:p w:rsidR="00F85219" w:rsidRPr="00414434" w:rsidRDefault="00F85219" w:rsidP="00F85219">
            <w:pPr>
              <w:ind w:left="880" w:hanging="880"/>
              <w:jc w:val="center"/>
              <w:rPr>
                <w:rFonts w:ascii="Arial" w:hAnsi="Arial" w:cs="Arial"/>
                <w:b/>
              </w:rPr>
            </w:pPr>
            <w:r w:rsidRPr="00414434">
              <w:rPr>
                <w:rFonts w:ascii="Arial" w:hAnsi="Arial" w:cs="Arial"/>
                <w:b/>
              </w:rPr>
              <w:t>2.4</w:t>
            </w:r>
          </w:p>
        </w:tc>
        <w:tc>
          <w:tcPr>
            <w:tcW w:w="13041" w:type="dxa"/>
            <w:shd w:val="clear" w:color="auto" w:fill="auto"/>
          </w:tcPr>
          <w:p w:rsidR="00F85219" w:rsidRPr="00414434" w:rsidRDefault="00F85219" w:rsidP="00F85219">
            <w:pPr>
              <w:ind w:left="33" w:hanging="4"/>
              <w:rPr>
                <w:rFonts w:ascii="Arial" w:hAnsi="Arial" w:cs="Arial"/>
                <w:b/>
              </w:rPr>
            </w:pPr>
            <w:r w:rsidRPr="00414434">
              <w:rPr>
                <w:rFonts w:ascii="Arial" w:hAnsi="Arial" w:cs="Arial"/>
                <w:b/>
              </w:rPr>
              <w:t>Registered providers shall ensure that they have an appropriate, robust and prudent business planning, risk and control framework.</w:t>
            </w:r>
          </w:p>
          <w:p w:rsidR="00F85219" w:rsidRPr="00414434" w:rsidRDefault="00F85219" w:rsidP="00F85219">
            <w:pPr>
              <w:tabs>
                <w:tab w:val="left" w:pos="459"/>
              </w:tabs>
              <w:ind w:left="33" w:hanging="4"/>
              <w:rPr>
                <w:rFonts w:ascii="Arial" w:hAnsi="Arial" w:cs="Arial"/>
                <w:b/>
              </w:rPr>
            </w:pPr>
          </w:p>
        </w:tc>
      </w:tr>
      <w:tr w:rsidR="00F85219" w:rsidRPr="007C4B1F" w:rsidTr="009A3ED0">
        <w:trPr>
          <w:trHeight w:val="318"/>
        </w:trPr>
        <w:tc>
          <w:tcPr>
            <w:tcW w:w="988" w:type="dxa"/>
            <w:shd w:val="clear" w:color="auto" w:fill="auto"/>
            <w:vAlign w:val="center"/>
          </w:tcPr>
          <w:p w:rsidR="00F85219" w:rsidRPr="00414434" w:rsidRDefault="00F85219" w:rsidP="001B5277">
            <w:pPr>
              <w:ind w:left="880" w:hanging="880"/>
              <w:jc w:val="center"/>
              <w:rPr>
                <w:rFonts w:ascii="Arial" w:hAnsi="Arial" w:cs="Arial"/>
                <w:b/>
              </w:rPr>
            </w:pPr>
            <w:r w:rsidRPr="00414434">
              <w:rPr>
                <w:rFonts w:ascii="Arial" w:hAnsi="Arial" w:cs="Arial"/>
                <w:b/>
              </w:rPr>
              <w:t>2.4.1</w:t>
            </w:r>
          </w:p>
        </w:tc>
        <w:tc>
          <w:tcPr>
            <w:tcW w:w="13041" w:type="dxa"/>
            <w:shd w:val="clear" w:color="auto" w:fill="auto"/>
          </w:tcPr>
          <w:p w:rsidR="00F85219" w:rsidRPr="00414434" w:rsidRDefault="00F85219" w:rsidP="00F85219">
            <w:pPr>
              <w:ind w:left="880" w:hanging="851"/>
              <w:rPr>
                <w:rFonts w:ascii="Arial" w:hAnsi="Arial" w:cs="Arial"/>
                <w:b/>
              </w:rPr>
            </w:pPr>
            <w:r w:rsidRPr="00414434">
              <w:rPr>
                <w:rFonts w:ascii="Arial" w:hAnsi="Arial" w:cs="Arial"/>
                <w:b/>
              </w:rPr>
              <w:t>The framework shall ensure:</w:t>
            </w:r>
          </w:p>
          <w:p w:rsidR="00F85219" w:rsidRPr="00414434" w:rsidRDefault="00F85219" w:rsidP="00F85219">
            <w:pPr>
              <w:tabs>
                <w:tab w:val="left" w:pos="738"/>
              </w:tabs>
              <w:ind w:left="738" w:hanging="709"/>
              <w:rPr>
                <w:rFonts w:ascii="Arial" w:hAnsi="Arial" w:cs="Arial"/>
                <w:b/>
              </w:rPr>
            </w:pPr>
          </w:p>
          <w:p w:rsidR="00F85219" w:rsidRPr="00414434" w:rsidRDefault="00F85219" w:rsidP="00896CA9">
            <w:pPr>
              <w:pStyle w:val="ListParagraph"/>
              <w:numPr>
                <w:ilvl w:val="0"/>
                <w:numId w:val="6"/>
              </w:numPr>
              <w:tabs>
                <w:tab w:val="left" w:pos="459"/>
              </w:tabs>
              <w:rPr>
                <w:rFonts w:ascii="Arial" w:hAnsi="Arial" w:cs="Arial"/>
                <w:b/>
              </w:rPr>
            </w:pPr>
            <w:r w:rsidRPr="00414434">
              <w:rPr>
                <w:rFonts w:ascii="Arial" w:hAnsi="Arial" w:cs="Arial"/>
                <w:b/>
              </w:rPr>
              <w:t>there is access to sufficient liquidity at all times</w:t>
            </w:r>
          </w:p>
          <w:p w:rsidR="00F85219" w:rsidRPr="00414434" w:rsidRDefault="00F85219" w:rsidP="00896CA9">
            <w:pPr>
              <w:pStyle w:val="ListParagraph"/>
              <w:numPr>
                <w:ilvl w:val="0"/>
                <w:numId w:val="6"/>
              </w:numPr>
              <w:tabs>
                <w:tab w:val="left" w:pos="459"/>
              </w:tabs>
              <w:rPr>
                <w:rFonts w:ascii="Arial" w:hAnsi="Arial" w:cs="Arial"/>
                <w:b/>
              </w:rPr>
            </w:pPr>
            <w:r w:rsidRPr="00414434">
              <w:rPr>
                <w:rFonts w:ascii="Arial" w:hAnsi="Arial" w:cs="Arial"/>
                <w:b/>
              </w:rPr>
              <w:t>financial forecasts are based on appropriate and reasonable assumptions</w:t>
            </w:r>
          </w:p>
          <w:p w:rsidR="00F85219" w:rsidRPr="00414434" w:rsidRDefault="00F85219" w:rsidP="00896CA9">
            <w:pPr>
              <w:pStyle w:val="ListParagraph"/>
              <w:numPr>
                <w:ilvl w:val="0"/>
                <w:numId w:val="6"/>
              </w:numPr>
              <w:tabs>
                <w:tab w:val="left" w:pos="459"/>
              </w:tabs>
              <w:rPr>
                <w:rFonts w:ascii="Arial" w:hAnsi="Arial" w:cs="Arial"/>
                <w:b/>
              </w:rPr>
            </w:pPr>
            <w:r w:rsidRPr="00414434">
              <w:rPr>
                <w:rFonts w:ascii="Arial" w:hAnsi="Arial" w:cs="Arial"/>
                <w:b/>
              </w:rPr>
              <w:t>effective systems are in place to monitor and accurately report delivery of the registered provider’s plans</w:t>
            </w:r>
          </w:p>
          <w:p w:rsidR="00F85219" w:rsidRPr="00414434" w:rsidRDefault="00F85219" w:rsidP="00896CA9">
            <w:pPr>
              <w:pStyle w:val="ListParagraph"/>
              <w:numPr>
                <w:ilvl w:val="0"/>
                <w:numId w:val="6"/>
              </w:numPr>
              <w:tabs>
                <w:tab w:val="left" w:pos="459"/>
              </w:tabs>
              <w:rPr>
                <w:rFonts w:ascii="Arial" w:hAnsi="Arial" w:cs="Arial"/>
                <w:b/>
              </w:rPr>
            </w:pPr>
            <w:r w:rsidRPr="00414434">
              <w:rPr>
                <w:rFonts w:ascii="Arial" w:hAnsi="Arial" w:cs="Arial"/>
                <w:b/>
              </w:rPr>
              <w:t>the financial and other implications of risks to the delivery of plans are considered</w:t>
            </w:r>
          </w:p>
          <w:p w:rsidR="00F85219" w:rsidRPr="00414434" w:rsidRDefault="00F85219" w:rsidP="00896CA9">
            <w:pPr>
              <w:pStyle w:val="ListParagraph"/>
              <w:numPr>
                <w:ilvl w:val="0"/>
                <w:numId w:val="6"/>
              </w:numPr>
              <w:tabs>
                <w:tab w:val="left" w:pos="459"/>
              </w:tabs>
              <w:rPr>
                <w:rFonts w:ascii="Arial" w:hAnsi="Arial" w:cs="Arial"/>
                <w:b/>
              </w:rPr>
            </w:pPr>
            <w:r w:rsidRPr="00414434">
              <w:rPr>
                <w:rFonts w:ascii="Arial" w:hAnsi="Arial" w:cs="Arial"/>
                <w:b/>
              </w:rPr>
              <w:t>registered providers monitor, report on and comply with their funders’ covenants.</w:t>
            </w:r>
          </w:p>
          <w:p w:rsidR="00F85219" w:rsidRPr="00414434" w:rsidRDefault="00F85219" w:rsidP="00F85219">
            <w:pPr>
              <w:ind w:left="880" w:hanging="880"/>
              <w:rPr>
                <w:rFonts w:ascii="Arial" w:hAnsi="Arial" w:cs="Arial"/>
                <w:b/>
              </w:rPr>
            </w:pPr>
          </w:p>
        </w:tc>
      </w:tr>
      <w:tr w:rsidR="00F85219" w:rsidRPr="007C4B1F" w:rsidTr="009A3ED0">
        <w:trPr>
          <w:trHeight w:val="318"/>
        </w:trPr>
        <w:tc>
          <w:tcPr>
            <w:tcW w:w="988" w:type="dxa"/>
            <w:shd w:val="clear" w:color="auto" w:fill="auto"/>
            <w:vAlign w:val="center"/>
          </w:tcPr>
          <w:p w:rsidR="00F85219" w:rsidRPr="00414434" w:rsidRDefault="00F85219" w:rsidP="001B5277">
            <w:pPr>
              <w:ind w:left="880" w:hanging="880"/>
              <w:jc w:val="center"/>
              <w:rPr>
                <w:rFonts w:ascii="Arial" w:hAnsi="Arial" w:cs="Arial"/>
                <w:b/>
              </w:rPr>
            </w:pPr>
            <w:r w:rsidRPr="00414434">
              <w:rPr>
                <w:rFonts w:ascii="Arial" w:hAnsi="Arial" w:cs="Arial"/>
                <w:b/>
              </w:rPr>
              <w:t>2.4.2</w:t>
            </w:r>
          </w:p>
        </w:tc>
        <w:tc>
          <w:tcPr>
            <w:tcW w:w="13041" w:type="dxa"/>
            <w:shd w:val="clear" w:color="auto" w:fill="auto"/>
          </w:tcPr>
          <w:p w:rsidR="00F85219" w:rsidRPr="00414434" w:rsidRDefault="00F85219" w:rsidP="00F85219">
            <w:pPr>
              <w:ind w:left="33" w:hanging="33"/>
              <w:rPr>
                <w:rFonts w:ascii="Arial" w:hAnsi="Arial" w:cs="Arial"/>
                <w:b/>
              </w:rPr>
            </w:pPr>
            <w:r w:rsidRPr="00414434">
              <w:rPr>
                <w:rFonts w:ascii="Arial" w:hAnsi="Arial" w:cs="Arial"/>
                <w:b/>
              </w:rPr>
              <w:t>The framework shall be approved by the registered provider’s board and its effectiveness in achieving the required outcomes shall be reviewed at least once a year.</w:t>
            </w:r>
          </w:p>
        </w:tc>
      </w:tr>
      <w:tr w:rsidR="003E40A9" w:rsidRPr="007C4B1F" w:rsidTr="009A3ED0">
        <w:trPr>
          <w:trHeight w:val="397"/>
        </w:trPr>
        <w:tc>
          <w:tcPr>
            <w:tcW w:w="14029" w:type="dxa"/>
            <w:gridSpan w:val="2"/>
            <w:shd w:val="clear" w:color="auto" w:fill="auto"/>
            <w:vAlign w:val="center"/>
          </w:tcPr>
          <w:p w:rsidR="003E40A9" w:rsidRPr="007764A6" w:rsidRDefault="003E40A9" w:rsidP="003E40A9">
            <w:pPr>
              <w:ind w:left="33" w:hanging="4"/>
              <w:rPr>
                <w:rFonts w:ascii="Arial" w:hAnsi="Arial" w:cs="Arial"/>
                <w:b/>
              </w:rPr>
            </w:pPr>
            <w:r w:rsidRPr="007764A6">
              <w:rPr>
                <w:rFonts w:ascii="Arial" w:hAnsi="Arial" w:cs="Arial"/>
                <w:b/>
              </w:rPr>
              <w:t xml:space="preserve">Code of Practice: </w:t>
            </w:r>
            <w:r w:rsidRPr="007764A6">
              <w:rPr>
                <w:rFonts w:ascii="Arial" w:hAnsi="Arial" w:cs="Arial"/>
                <w:b/>
                <w:bCs/>
              </w:rPr>
              <w:t>Specific expectations applicable to all registered providers; paragraph 2.4</w:t>
            </w:r>
          </w:p>
        </w:tc>
      </w:tr>
      <w:tr w:rsidR="003E40A9" w:rsidRPr="007C4B1F" w:rsidTr="009A3ED0">
        <w:trPr>
          <w:trHeight w:val="318"/>
        </w:trPr>
        <w:tc>
          <w:tcPr>
            <w:tcW w:w="988" w:type="dxa"/>
            <w:shd w:val="clear" w:color="auto" w:fill="auto"/>
            <w:vAlign w:val="center"/>
          </w:tcPr>
          <w:p w:rsidR="003E40A9" w:rsidRPr="003E40A9" w:rsidRDefault="003E40A9" w:rsidP="003E40A9">
            <w:pPr>
              <w:ind w:left="880" w:hanging="880"/>
              <w:jc w:val="center"/>
              <w:rPr>
                <w:rFonts w:ascii="Arial" w:hAnsi="Arial" w:cs="Arial"/>
              </w:rPr>
            </w:pPr>
            <w:r>
              <w:rPr>
                <w:rFonts w:ascii="Arial" w:hAnsi="Arial" w:cs="Arial"/>
              </w:rPr>
              <w:t>21</w:t>
            </w:r>
          </w:p>
        </w:tc>
        <w:tc>
          <w:tcPr>
            <w:tcW w:w="13041" w:type="dxa"/>
            <w:shd w:val="clear" w:color="auto" w:fill="auto"/>
          </w:tcPr>
          <w:p w:rsidR="003E40A9" w:rsidRPr="003E40A9" w:rsidRDefault="003E40A9" w:rsidP="003E40A9">
            <w:pPr>
              <w:ind w:left="33" w:hanging="33"/>
              <w:rPr>
                <w:rFonts w:ascii="Arial" w:hAnsi="Arial" w:cs="Arial"/>
                <w:b/>
              </w:rPr>
            </w:pPr>
            <w:r w:rsidRPr="003E40A9">
              <w:rPr>
                <w:rFonts w:ascii="Arial" w:hAnsi="Arial" w:cs="Arial"/>
              </w:rPr>
              <w:t>Registered providers need to ensure their business planning, risk management and control framework is effective. It should cover all areas of the registered provider's business. This should demonstrate the registered provider fully understands and has considered its operating environment, so it can deliver its business plan and organisational objectives. It does not need to be captured in a single document.</w:t>
            </w:r>
          </w:p>
        </w:tc>
      </w:tr>
      <w:tr w:rsidR="003E40A9" w:rsidRPr="007C4B1F" w:rsidTr="009A3ED0">
        <w:trPr>
          <w:trHeight w:val="318"/>
        </w:trPr>
        <w:tc>
          <w:tcPr>
            <w:tcW w:w="988" w:type="dxa"/>
            <w:shd w:val="clear" w:color="auto" w:fill="auto"/>
            <w:vAlign w:val="center"/>
          </w:tcPr>
          <w:p w:rsidR="003E40A9" w:rsidRPr="003E40A9" w:rsidRDefault="003E40A9" w:rsidP="003E40A9">
            <w:pPr>
              <w:ind w:left="880" w:hanging="880"/>
              <w:jc w:val="center"/>
              <w:rPr>
                <w:rFonts w:ascii="Arial" w:hAnsi="Arial" w:cs="Arial"/>
              </w:rPr>
            </w:pPr>
            <w:r>
              <w:rPr>
                <w:rFonts w:ascii="Arial" w:hAnsi="Arial" w:cs="Arial"/>
              </w:rPr>
              <w:t>22</w:t>
            </w:r>
          </w:p>
        </w:tc>
        <w:tc>
          <w:tcPr>
            <w:tcW w:w="13041" w:type="dxa"/>
            <w:shd w:val="clear" w:color="auto" w:fill="auto"/>
          </w:tcPr>
          <w:p w:rsidR="003E40A9" w:rsidRPr="003E40A9" w:rsidRDefault="003E40A9" w:rsidP="001B5277">
            <w:pPr>
              <w:autoSpaceDE w:val="0"/>
              <w:autoSpaceDN w:val="0"/>
              <w:adjustRightInd w:val="0"/>
              <w:rPr>
                <w:rFonts w:ascii="Arial" w:hAnsi="Arial" w:cs="Arial"/>
                <w:b/>
              </w:rPr>
            </w:pPr>
            <w:r w:rsidRPr="003E40A9">
              <w:rPr>
                <w:rFonts w:ascii="Arial" w:hAnsi="Arial" w:cs="Arial"/>
                <w:color w:val="000000"/>
                <w:lang w:eastAsia="en-GB" w:bidi="ar-SA"/>
              </w:rPr>
              <w:t xml:space="preserve">Registered providers should have a clear understanding of their risk tolerances and ensure that they are appropriate to the scale and nature of the activities they are undertaking and their role as a registered provider. Registered providers should be able to identify the capital at risk from any investment activities, and ensure that investment is priced at such a level with a rate of return which is commensurate to the level of risk presented. Where a registered provider is a charity they should consider this alongside </w:t>
            </w:r>
            <w:r w:rsidRPr="003E40A9">
              <w:rPr>
                <w:rFonts w:ascii="Arial" w:hAnsi="Arial" w:cs="Arial"/>
                <w:lang w:eastAsia="en-GB" w:bidi="ar-SA"/>
              </w:rPr>
              <w:t>their objects and duties under charity law. Registered providers should consider the potential aggregated impact of risks, as well as their impact at an individual level.</w:t>
            </w:r>
          </w:p>
        </w:tc>
      </w:tr>
      <w:tr w:rsidR="003E40A9" w:rsidRPr="007C4B1F" w:rsidTr="009A3ED0">
        <w:trPr>
          <w:trHeight w:val="318"/>
        </w:trPr>
        <w:tc>
          <w:tcPr>
            <w:tcW w:w="988" w:type="dxa"/>
            <w:shd w:val="clear" w:color="auto" w:fill="auto"/>
            <w:vAlign w:val="center"/>
          </w:tcPr>
          <w:p w:rsidR="003E40A9" w:rsidRPr="003E40A9" w:rsidRDefault="003E40A9" w:rsidP="003E40A9">
            <w:pPr>
              <w:ind w:left="880" w:hanging="880"/>
              <w:jc w:val="center"/>
              <w:rPr>
                <w:rFonts w:ascii="Arial" w:hAnsi="Arial" w:cs="Arial"/>
              </w:rPr>
            </w:pPr>
            <w:r>
              <w:rPr>
                <w:rFonts w:ascii="Arial" w:hAnsi="Arial" w:cs="Arial"/>
              </w:rPr>
              <w:t>23</w:t>
            </w:r>
          </w:p>
        </w:tc>
        <w:tc>
          <w:tcPr>
            <w:tcW w:w="13041" w:type="dxa"/>
            <w:shd w:val="clear" w:color="auto" w:fill="auto"/>
          </w:tcPr>
          <w:p w:rsidR="003E40A9" w:rsidRPr="003E40A9" w:rsidRDefault="003E40A9" w:rsidP="003E40A9">
            <w:pPr>
              <w:ind w:left="33" w:hanging="33"/>
              <w:rPr>
                <w:rFonts w:ascii="Arial" w:hAnsi="Arial" w:cs="Arial"/>
                <w:b/>
              </w:rPr>
            </w:pPr>
            <w:r w:rsidRPr="003E40A9">
              <w:rPr>
                <w:rFonts w:ascii="Arial" w:hAnsi="Arial" w:cs="Arial"/>
              </w:rPr>
              <w:t>Registered providers should ensure that they have access to sufficient committed and available liquidity at all times. They should understand the timing of cash flows and any conditions for a drawdown so they can manage cash flow risk. This means registered providers should understand the receipts and outgoings of the business, for example, rental income, investment in existing stock, the costs of development, receipts from sales and other business, financing costs (loan capital and interest payments) and build sufficient prudence into their plans to cope with changes. In particular, boards should assure themselves that they put funding lines in place in sufficient time to cope with major cash outflows. Boards should ensure that they effectively identify and manage any risks of re-financing whether planned or in reaction to changes in the operating environment.</w:t>
            </w:r>
          </w:p>
        </w:tc>
      </w:tr>
      <w:tr w:rsidR="003E40A9" w:rsidRPr="007C4B1F" w:rsidTr="009A3ED0">
        <w:trPr>
          <w:trHeight w:val="318"/>
        </w:trPr>
        <w:tc>
          <w:tcPr>
            <w:tcW w:w="988" w:type="dxa"/>
            <w:shd w:val="clear" w:color="auto" w:fill="auto"/>
            <w:vAlign w:val="center"/>
          </w:tcPr>
          <w:p w:rsidR="003E40A9" w:rsidRPr="003E40A9" w:rsidRDefault="003E40A9" w:rsidP="003E40A9">
            <w:pPr>
              <w:ind w:left="880" w:hanging="880"/>
              <w:jc w:val="center"/>
              <w:rPr>
                <w:rFonts w:ascii="Arial" w:hAnsi="Arial" w:cs="Arial"/>
              </w:rPr>
            </w:pPr>
            <w:r>
              <w:rPr>
                <w:rFonts w:ascii="Arial" w:hAnsi="Arial" w:cs="Arial"/>
              </w:rPr>
              <w:t>24</w:t>
            </w:r>
          </w:p>
        </w:tc>
        <w:tc>
          <w:tcPr>
            <w:tcW w:w="13041" w:type="dxa"/>
            <w:shd w:val="clear" w:color="auto" w:fill="auto"/>
          </w:tcPr>
          <w:p w:rsidR="003E40A9" w:rsidRPr="003E40A9" w:rsidRDefault="003E40A9" w:rsidP="003E40A9">
            <w:pPr>
              <w:ind w:left="33" w:hanging="33"/>
              <w:rPr>
                <w:rFonts w:ascii="Arial" w:hAnsi="Arial" w:cs="Arial"/>
                <w:b/>
              </w:rPr>
            </w:pPr>
            <w:r w:rsidRPr="003E40A9">
              <w:rPr>
                <w:rFonts w:ascii="Arial" w:hAnsi="Arial" w:cs="Arial"/>
              </w:rPr>
              <w:t>Registered providers should also look at the relationship between operational and capital cash flows. Non-discretionary expenses, including all major repairs (whether capitalised or not) and interest costs, should be met from operating income. When using capital income (for example, receipts from disposals) to meet operating expenses, boards should ensure there is a plan that ensures operating cash flows fully cover operating expenses in the future. While this is not the case, registered providers need a plan to ensure that exposures are managed.</w:t>
            </w:r>
          </w:p>
        </w:tc>
      </w:tr>
      <w:tr w:rsidR="003E40A9" w:rsidRPr="007C4B1F" w:rsidTr="009A3ED0">
        <w:trPr>
          <w:trHeight w:val="318"/>
        </w:trPr>
        <w:tc>
          <w:tcPr>
            <w:tcW w:w="988" w:type="dxa"/>
            <w:shd w:val="clear" w:color="auto" w:fill="auto"/>
            <w:vAlign w:val="center"/>
          </w:tcPr>
          <w:p w:rsidR="003E40A9" w:rsidRPr="003E40A9" w:rsidRDefault="003E40A9" w:rsidP="003E40A9">
            <w:pPr>
              <w:ind w:left="880" w:hanging="880"/>
              <w:jc w:val="center"/>
              <w:rPr>
                <w:rFonts w:ascii="Arial" w:hAnsi="Arial" w:cs="Arial"/>
              </w:rPr>
            </w:pPr>
            <w:r>
              <w:rPr>
                <w:rFonts w:ascii="Arial" w:hAnsi="Arial" w:cs="Arial"/>
              </w:rPr>
              <w:t>25</w:t>
            </w:r>
          </w:p>
        </w:tc>
        <w:tc>
          <w:tcPr>
            <w:tcW w:w="13041" w:type="dxa"/>
            <w:shd w:val="clear" w:color="auto" w:fill="auto"/>
          </w:tcPr>
          <w:p w:rsidR="003E40A9" w:rsidRPr="003E40A9" w:rsidRDefault="003E40A9" w:rsidP="003E40A9">
            <w:pPr>
              <w:autoSpaceDE w:val="0"/>
              <w:autoSpaceDN w:val="0"/>
              <w:adjustRightInd w:val="0"/>
              <w:rPr>
                <w:rFonts w:ascii="Arial" w:hAnsi="Arial" w:cs="Arial"/>
                <w:color w:val="000000"/>
                <w:lang w:eastAsia="en-GB" w:bidi="ar-SA"/>
              </w:rPr>
            </w:pPr>
            <w:r w:rsidRPr="003E40A9">
              <w:rPr>
                <w:rFonts w:ascii="Arial" w:hAnsi="Arial" w:cs="Arial"/>
                <w:color w:val="000000"/>
                <w:lang w:eastAsia="en-GB" w:bidi="ar-SA"/>
              </w:rPr>
              <w:t xml:space="preserve">Registered providers need to build their business on robust and prudent assumptions. Registered providers should assure themselves the assumptions used are reasonable. For example these may be based on: </w:t>
            </w:r>
          </w:p>
          <w:p w:rsidR="003E40A9" w:rsidRPr="001B5277" w:rsidRDefault="003E40A9" w:rsidP="00896CA9">
            <w:pPr>
              <w:pStyle w:val="ListParagraph"/>
              <w:numPr>
                <w:ilvl w:val="0"/>
                <w:numId w:val="11"/>
              </w:numPr>
              <w:autoSpaceDE w:val="0"/>
              <w:autoSpaceDN w:val="0"/>
              <w:adjustRightInd w:val="0"/>
              <w:ind w:left="317" w:hanging="284"/>
              <w:rPr>
                <w:rFonts w:ascii="Arial" w:hAnsi="Arial" w:cs="Arial"/>
                <w:color w:val="000000"/>
                <w:lang w:eastAsia="en-GB" w:bidi="ar-SA"/>
              </w:rPr>
            </w:pPr>
            <w:r w:rsidRPr="001B5277">
              <w:rPr>
                <w:rFonts w:ascii="Arial" w:hAnsi="Arial" w:cs="Arial"/>
                <w:color w:val="000000"/>
                <w:lang w:eastAsia="en-GB" w:bidi="ar-SA"/>
              </w:rPr>
              <w:t xml:space="preserve">past performance </w:t>
            </w:r>
          </w:p>
          <w:p w:rsidR="003E40A9" w:rsidRPr="001B5277" w:rsidRDefault="003E40A9" w:rsidP="00896CA9">
            <w:pPr>
              <w:pStyle w:val="ListParagraph"/>
              <w:numPr>
                <w:ilvl w:val="0"/>
                <w:numId w:val="11"/>
              </w:numPr>
              <w:autoSpaceDE w:val="0"/>
              <w:autoSpaceDN w:val="0"/>
              <w:adjustRightInd w:val="0"/>
              <w:ind w:left="317" w:hanging="284"/>
              <w:rPr>
                <w:rFonts w:ascii="Arial" w:hAnsi="Arial" w:cs="Arial"/>
                <w:color w:val="000000"/>
                <w:lang w:eastAsia="en-GB" w:bidi="ar-SA"/>
              </w:rPr>
            </w:pPr>
            <w:r w:rsidRPr="001B5277">
              <w:rPr>
                <w:rFonts w:ascii="Arial" w:hAnsi="Arial" w:cs="Arial"/>
                <w:color w:val="000000"/>
                <w:lang w:eastAsia="en-GB" w:bidi="ar-SA"/>
              </w:rPr>
              <w:t xml:space="preserve">market conditions </w:t>
            </w:r>
          </w:p>
          <w:p w:rsidR="003E40A9" w:rsidRPr="001B5277" w:rsidRDefault="003E40A9" w:rsidP="00896CA9">
            <w:pPr>
              <w:pStyle w:val="ListParagraph"/>
              <w:numPr>
                <w:ilvl w:val="0"/>
                <w:numId w:val="12"/>
              </w:numPr>
              <w:ind w:left="317" w:hanging="284"/>
              <w:rPr>
                <w:rFonts w:ascii="Arial" w:hAnsi="Arial" w:cs="Arial"/>
                <w:b/>
              </w:rPr>
            </w:pPr>
            <w:r w:rsidRPr="001B5277">
              <w:rPr>
                <w:rFonts w:ascii="Arial" w:hAnsi="Arial" w:cs="Arial"/>
                <w:color w:val="000000"/>
                <w:lang w:eastAsia="en-GB" w:bidi="ar-SA"/>
              </w:rPr>
              <w:t>deliverability and forecasts of possible future conditions</w:t>
            </w:r>
          </w:p>
        </w:tc>
      </w:tr>
      <w:tr w:rsidR="003E40A9" w:rsidRPr="007C4B1F" w:rsidTr="009A3ED0">
        <w:trPr>
          <w:trHeight w:val="318"/>
        </w:trPr>
        <w:tc>
          <w:tcPr>
            <w:tcW w:w="988" w:type="dxa"/>
            <w:shd w:val="clear" w:color="auto" w:fill="auto"/>
            <w:vAlign w:val="center"/>
          </w:tcPr>
          <w:p w:rsidR="003E40A9" w:rsidRPr="003E40A9" w:rsidRDefault="003E40A9" w:rsidP="003E40A9">
            <w:pPr>
              <w:ind w:left="880" w:hanging="880"/>
              <w:jc w:val="center"/>
              <w:rPr>
                <w:rFonts w:ascii="Arial" w:hAnsi="Arial" w:cs="Arial"/>
              </w:rPr>
            </w:pPr>
            <w:r>
              <w:rPr>
                <w:rFonts w:ascii="Arial" w:hAnsi="Arial" w:cs="Arial"/>
              </w:rPr>
              <w:t>26</w:t>
            </w:r>
          </w:p>
        </w:tc>
        <w:tc>
          <w:tcPr>
            <w:tcW w:w="13041" w:type="dxa"/>
            <w:shd w:val="clear" w:color="auto" w:fill="auto"/>
          </w:tcPr>
          <w:p w:rsidR="003E40A9" w:rsidRPr="003E40A9" w:rsidRDefault="003E40A9" w:rsidP="003E40A9">
            <w:pPr>
              <w:ind w:left="33" w:hanging="33"/>
              <w:rPr>
                <w:rFonts w:ascii="Arial" w:hAnsi="Arial" w:cs="Arial"/>
                <w:b/>
              </w:rPr>
            </w:pPr>
            <w:r w:rsidRPr="003E40A9">
              <w:rPr>
                <w:rFonts w:ascii="Arial" w:hAnsi="Arial" w:cs="Arial"/>
              </w:rPr>
              <w:t>The regulator expects these assumptions will be kept under review and updated in the light of changing circumstances. It is important that registered providers ensure their plan enables them to meet lenders' covenants. Registered providers need to ensure sufficient headroom to allow them to take remedial action if assumptions within the plan significantly change or (potentially) if they are not delivering against the plan.</w:t>
            </w:r>
          </w:p>
        </w:tc>
      </w:tr>
      <w:tr w:rsidR="003E40A9" w:rsidRPr="007C4B1F" w:rsidTr="009A3ED0">
        <w:trPr>
          <w:trHeight w:val="318"/>
        </w:trPr>
        <w:tc>
          <w:tcPr>
            <w:tcW w:w="988" w:type="dxa"/>
            <w:shd w:val="clear" w:color="auto" w:fill="auto"/>
            <w:vAlign w:val="center"/>
          </w:tcPr>
          <w:p w:rsidR="003E40A9" w:rsidRPr="003E40A9" w:rsidRDefault="003E40A9" w:rsidP="003E40A9">
            <w:pPr>
              <w:ind w:left="880" w:hanging="880"/>
              <w:jc w:val="center"/>
              <w:rPr>
                <w:rFonts w:ascii="Arial" w:hAnsi="Arial" w:cs="Arial"/>
              </w:rPr>
            </w:pPr>
            <w:r w:rsidRPr="003E40A9">
              <w:rPr>
                <w:rFonts w:ascii="Arial" w:hAnsi="Arial" w:cs="Arial"/>
              </w:rPr>
              <w:t>27</w:t>
            </w:r>
          </w:p>
        </w:tc>
        <w:tc>
          <w:tcPr>
            <w:tcW w:w="13041" w:type="dxa"/>
            <w:shd w:val="clear" w:color="auto" w:fill="auto"/>
          </w:tcPr>
          <w:p w:rsidR="003E40A9" w:rsidRPr="003E40A9" w:rsidRDefault="003E40A9" w:rsidP="003E40A9">
            <w:pPr>
              <w:ind w:left="33" w:hanging="33"/>
              <w:rPr>
                <w:rFonts w:ascii="Arial" w:hAnsi="Arial" w:cs="Arial"/>
              </w:rPr>
            </w:pPr>
            <w:r w:rsidRPr="003E40A9">
              <w:rPr>
                <w:rFonts w:ascii="Arial" w:hAnsi="Arial" w:cs="Arial"/>
              </w:rPr>
              <w:t>The regulator expects registered providers to identify the impact of significant business decisions (for example, major changes in development appetite, a new major scheme, moving into a new business stream or taking on new sources of funding) on viability (including continued covenant compliance). It also expects registered providers to report these to the board and take remedial action where necessary. Registered providers should think about their covenants in the broadest sense (financial and non-financial), set target measures of financial performance which provide headroom over covenants, and ensure they monitor all covenants.</w:t>
            </w:r>
          </w:p>
        </w:tc>
      </w:tr>
      <w:tr w:rsidR="003E40A9" w:rsidRPr="007C4B1F" w:rsidTr="009A3ED0">
        <w:trPr>
          <w:trHeight w:val="318"/>
        </w:trPr>
        <w:tc>
          <w:tcPr>
            <w:tcW w:w="988" w:type="dxa"/>
            <w:shd w:val="clear" w:color="auto" w:fill="auto"/>
            <w:vAlign w:val="center"/>
          </w:tcPr>
          <w:p w:rsidR="003E40A9" w:rsidRPr="003E40A9" w:rsidRDefault="003E40A9" w:rsidP="003E40A9">
            <w:pPr>
              <w:ind w:left="880" w:hanging="880"/>
              <w:jc w:val="center"/>
              <w:rPr>
                <w:rFonts w:ascii="Arial" w:hAnsi="Arial" w:cs="Arial"/>
              </w:rPr>
            </w:pPr>
            <w:r>
              <w:rPr>
                <w:rFonts w:ascii="Arial" w:hAnsi="Arial" w:cs="Arial"/>
              </w:rPr>
              <w:t>28</w:t>
            </w:r>
          </w:p>
        </w:tc>
        <w:tc>
          <w:tcPr>
            <w:tcW w:w="13041" w:type="dxa"/>
            <w:shd w:val="clear" w:color="auto" w:fill="auto"/>
          </w:tcPr>
          <w:p w:rsidR="003E40A9" w:rsidRPr="003E40A9" w:rsidRDefault="003E40A9" w:rsidP="001B5277">
            <w:pPr>
              <w:autoSpaceDE w:val="0"/>
              <w:autoSpaceDN w:val="0"/>
              <w:adjustRightInd w:val="0"/>
              <w:rPr>
                <w:rFonts w:ascii="Arial" w:hAnsi="Arial" w:cs="Arial"/>
              </w:rPr>
            </w:pPr>
            <w:r w:rsidRPr="003E40A9">
              <w:rPr>
                <w:rFonts w:ascii="Arial" w:hAnsi="Arial" w:cs="Arial"/>
                <w:color w:val="000000"/>
                <w:lang w:eastAsia="en-GB" w:bidi="ar-SA"/>
              </w:rPr>
              <w:t xml:space="preserve">The boards of registered providers should also be aware of the risks posed where separate companies are in effect controlled by others (through common or shadow </w:t>
            </w:r>
            <w:r w:rsidRPr="003E40A9">
              <w:rPr>
                <w:rFonts w:ascii="Arial" w:hAnsi="Arial" w:cs="Arial"/>
                <w:lang w:eastAsia="en-GB" w:bidi="ar-SA"/>
              </w:rPr>
              <w:t>directorships) and liabilities may be attributed to the registered provider putting social housing assets at risk. These risks should also be identified and mitigated.</w:t>
            </w:r>
          </w:p>
        </w:tc>
      </w:tr>
      <w:tr w:rsidR="003E40A9" w:rsidRPr="007C4B1F" w:rsidTr="007764A6">
        <w:trPr>
          <w:trHeight w:val="397"/>
        </w:trPr>
        <w:tc>
          <w:tcPr>
            <w:tcW w:w="14029" w:type="dxa"/>
            <w:gridSpan w:val="2"/>
            <w:shd w:val="clear" w:color="auto" w:fill="165788"/>
            <w:vAlign w:val="center"/>
          </w:tcPr>
          <w:p w:rsidR="003E40A9" w:rsidRPr="007764A6" w:rsidRDefault="003E40A9" w:rsidP="00971698">
            <w:pPr>
              <w:autoSpaceDE w:val="0"/>
              <w:autoSpaceDN w:val="0"/>
              <w:adjustRightInd w:val="0"/>
              <w:rPr>
                <w:rFonts w:ascii="Arial" w:hAnsi="Arial" w:cs="Arial"/>
                <w:b/>
                <w:color w:val="FFFFFF" w:themeColor="background1"/>
              </w:rPr>
            </w:pPr>
            <w:r w:rsidRPr="007764A6">
              <w:rPr>
                <w:rFonts w:ascii="Arial" w:hAnsi="Arial" w:cs="Arial"/>
                <w:b/>
                <w:color w:val="FFFFFF" w:themeColor="background1"/>
              </w:rPr>
              <w:t>Bdht Compliance Position</w:t>
            </w:r>
            <w:r w:rsidR="00971698" w:rsidRPr="007764A6">
              <w:rPr>
                <w:rFonts w:ascii="Arial" w:hAnsi="Arial" w:cs="Arial"/>
                <w:b/>
                <w:color w:val="FFFFFF" w:themeColor="background1"/>
              </w:rPr>
              <w:t>: Compliant</w:t>
            </w:r>
          </w:p>
        </w:tc>
      </w:tr>
      <w:tr w:rsidR="003E40A9" w:rsidRPr="007C4B1F" w:rsidTr="009A3ED0">
        <w:trPr>
          <w:trHeight w:val="318"/>
        </w:trPr>
        <w:tc>
          <w:tcPr>
            <w:tcW w:w="14029" w:type="dxa"/>
            <w:gridSpan w:val="2"/>
            <w:shd w:val="clear" w:color="auto" w:fill="auto"/>
          </w:tcPr>
          <w:p w:rsidR="002735B0" w:rsidRPr="007764A6" w:rsidRDefault="002735B0" w:rsidP="002735B0">
            <w:pPr>
              <w:rPr>
                <w:rFonts w:ascii="Arial" w:hAnsi="Arial" w:cs="Arial"/>
                <w:color w:val="165788"/>
              </w:rPr>
            </w:pPr>
            <w:r w:rsidRPr="007764A6">
              <w:rPr>
                <w:rFonts w:ascii="Arial" w:hAnsi="Arial" w:cs="Arial"/>
                <w:color w:val="165788"/>
              </w:rPr>
              <w:t>The Business Plan is reviewed annually by the Board. External consultants (Mazars) are employed to ensure the reliability of stock data used to make Business Plan assumptions.</w:t>
            </w:r>
          </w:p>
          <w:p w:rsidR="002735B0" w:rsidRPr="007764A6" w:rsidRDefault="002735B0" w:rsidP="002735B0">
            <w:pPr>
              <w:rPr>
                <w:rFonts w:ascii="Arial" w:hAnsi="Arial" w:cs="Arial"/>
                <w:color w:val="165788"/>
              </w:rPr>
            </w:pPr>
          </w:p>
          <w:p w:rsidR="002735B0" w:rsidRPr="007764A6" w:rsidRDefault="002735B0" w:rsidP="002735B0">
            <w:pPr>
              <w:rPr>
                <w:rFonts w:ascii="Arial" w:hAnsi="Arial" w:cs="Arial"/>
                <w:color w:val="165788"/>
              </w:rPr>
            </w:pPr>
            <w:r w:rsidRPr="007764A6">
              <w:rPr>
                <w:rFonts w:ascii="Arial" w:hAnsi="Arial" w:cs="Arial"/>
                <w:color w:val="165788"/>
              </w:rPr>
              <w:t>bdht employ specialist financial consultants to provide advice on loan management and to ensure actions are prudent.</w:t>
            </w:r>
          </w:p>
          <w:p w:rsidR="002735B0" w:rsidRPr="004155DD" w:rsidRDefault="002735B0" w:rsidP="002735B0">
            <w:pPr>
              <w:rPr>
                <w:rFonts w:ascii="Arial" w:hAnsi="Arial" w:cs="Arial"/>
                <w:color w:val="009B3A"/>
              </w:rPr>
            </w:pPr>
          </w:p>
          <w:p w:rsidR="002735B0" w:rsidRPr="00AC1620" w:rsidRDefault="002735B0" w:rsidP="002735B0">
            <w:pPr>
              <w:rPr>
                <w:rFonts w:ascii="Arial" w:hAnsi="Arial" w:cs="Arial"/>
                <w:b/>
                <w:color w:val="165788"/>
              </w:rPr>
            </w:pPr>
            <w:r w:rsidRPr="00AC1620">
              <w:rPr>
                <w:rFonts w:ascii="Arial" w:hAnsi="Arial" w:cs="Arial"/>
                <w:b/>
                <w:color w:val="165788"/>
              </w:rPr>
              <w:t>Effective controls</w:t>
            </w:r>
          </w:p>
          <w:p w:rsidR="002735B0" w:rsidRPr="00AC1620" w:rsidRDefault="002735B0" w:rsidP="002735B0">
            <w:pPr>
              <w:rPr>
                <w:rFonts w:ascii="Arial" w:hAnsi="Arial" w:cs="Arial"/>
                <w:color w:val="165788"/>
              </w:rPr>
            </w:pPr>
          </w:p>
          <w:p w:rsidR="002735B0" w:rsidRPr="00AC1620" w:rsidRDefault="00A70D47" w:rsidP="002735B0">
            <w:pPr>
              <w:rPr>
                <w:rFonts w:ascii="Arial" w:hAnsi="Arial" w:cs="Arial"/>
                <w:color w:val="165788"/>
              </w:rPr>
            </w:pPr>
            <w:r w:rsidRPr="00AC1620">
              <w:rPr>
                <w:rFonts w:ascii="Arial" w:hAnsi="Arial" w:cs="Arial"/>
                <w:color w:val="165788"/>
              </w:rPr>
              <w:t xml:space="preserve">In order to ensure that the business is pursuing the right objectives, the Board undertake an annual review of the operating environment, including an assessment of significant risks facing the business at “Strategic Away-Days”. The outcomes from these reviews are fed into the Business Planning </w:t>
            </w:r>
            <w:r w:rsidR="00C05340" w:rsidRPr="00AC1620">
              <w:rPr>
                <w:rFonts w:ascii="Arial" w:hAnsi="Arial" w:cs="Arial"/>
                <w:color w:val="165788"/>
              </w:rPr>
              <w:t>and Budget setting processes to ensure detail actions set out within the Corporate Plan are fully funded.</w:t>
            </w:r>
          </w:p>
          <w:p w:rsidR="002735B0" w:rsidRPr="004155DD" w:rsidRDefault="002735B0" w:rsidP="002735B0">
            <w:pPr>
              <w:rPr>
                <w:rFonts w:ascii="Arial" w:hAnsi="Arial" w:cs="Arial"/>
                <w:color w:val="009B3A"/>
              </w:rPr>
            </w:pPr>
          </w:p>
          <w:p w:rsidR="002735B0" w:rsidRPr="00AC1620" w:rsidRDefault="002735B0" w:rsidP="002735B0">
            <w:pPr>
              <w:rPr>
                <w:rFonts w:ascii="Arial" w:hAnsi="Arial" w:cs="Arial"/>
                <w:b/>
                <w:color w:val="165788"/>
              </w:rPr>
            </w:pPr>
            <w:r w:rsidRPr="00AC1620">
              <w:rPr>
                <w:rFonts w:ascii="Arial" w:hAnsi="Arial" w:cs="Arial"/>
                <w:b/>
                <w:color w:val="165788"/>
              </w:rPr>
              <w:t>Monitoring Delivery of Plans</w:t>
            </w:r>
          </w:p>
          <w:p w:rsidR="002735B0" w:rsidRPr="00AC1620" w:rsidRDefault="002735B0" w:rsidP="002735B0">
            <w:pPr>
              <w:rPr>
                <w:rFonts w:ascii="Arial" w:hAnsi="Arial" w:cs="Arial"/>
                <w:color w:val="165788"/>
              </w:rPr>
            </w:pPr>
            <w:r w:rsidRPr="00AC1620">
              <w:rPr>
                <w:rFonts w:ascii="Arial" w:hAnsi="Arial" w:cs="Arial"/>
                <w:color w:val="165788"/>
              </w:rPr>
              <w:t>The Corporate Plan is reviewed annually by Board</w:t>
            </w:r>
            <w:r w:rsidR="00AC1620" w:rsidRPr="00AC1620">
              <w:rPr>
                <w:rFonts w:ascii="Arial" w:hAnsi="Arial" w:cs="Arial"/>
                <w:color w:val="165788"/>
              </w:rPr>
              <w:t>, reported</w:t>
            </w:r>
            <w:r w:rsidRPr="00AC1620">
              <w:rPr>
                <w:rFonts w:ascii="Arial" w:hAnsi="Arial" w:cs="Arial"/>
                <w:color w:val="165788"/>
              </w:rPr>
              <w:t xml:space="preserve"> </w:t>
            </w:r>
            <w:r w:rsidR="00AC1620" w:rsidRPr="00AC1620">
              <w:rPr>
                <w:rFonts w:ascii="Arial" w:hAnsi="Arial" w:cs="Arial"/>
                <w:color w:val="165788"/>
              </w:rPr>
              <w:t xml:space="preserve">monthly in summary and by exception to all Board members, and   scrutinised in detail, quarterly, </w:t>
            </w:r>
            <w:r w:rsidRPr="00AC1620">
              <w:rPr>
                <w:rFonts w:ascii="Arial" w:hAnsi="Arial" w:cs="Arial"/>
                <w:color w:val="165788"/>
              </w:rPr>
              <w:t xml:space="preserve">by the Performance and Review Committee. </w:t>
            </w:r>
          </w:p>
          <w:p w:rsidR="002735B0" w:rsidRPr="004155DD" w:rsidRDefault="002735B0" w:rsidP="002735B0">
            <w:pPr>
              <w:rPr>
                <w:rFonts w:ascii="Arial" w:hAnsi="Arial" w:cs="Arial"/>
                <w:color w:val="009B3A"/>
              </w:rPr>
            </w:pPr>
          </w:p>
          <w:p w:rsidR="002735B0" w:rsidRPr="00AC1620" w:rsidRDefault="002735B0" w:rsidP="002735B0">
            <w:pPr>
              <w:rPr>
                <w:rFonts w:ascii="Arial" w:hAnsi="Arial" w:cs="Arial"/>
                <w:b/>
                <w:color w:val="165788"/>
              </w:rPr>
            </w:pPr>
            <w:r w:rsidRPr="00AC1620">
              <w:rPr>
                <w:rFonts w:ascii="Arial" w:hAnsi="Arial" w:cs="Arial"/>
                <w:b/>
                <w:color w:val="165788"/>
              </w:rPr>
              <w:t>Financial Plans</w:t>
            </w:r>
          </w:p>
          <w:p w:rsidR="002735B0" w:rsidRPr="00AC1620" w:rsidRDefault="002735B0" w:rsidP="002735B0">
            <w:pPr>
              <w:rPr>
                <w:rFonts w:ascii="Arial" w:hAnsi="Arial" w:cs="Arial"/>
                <w:color w:val="165788"/>
              </w:rPr>
            </w:pPr>
            <w:r w:rsidRPr="00AC1620">
              <w:rPr>
                <w:rFonts w:ascii="Arial" w:hAnsi="Arial" w:cs="Arial"/>
                <w:color w:val="165788"/>
              </w:rPr>
              <w:t>Quarterly financial reports are presented to the Board and the Executive Management Team  receive a monthly exception report to allow timely corrective action to be put in place as necessary.</w:t>
            </w:r>
          </w:p>
          <w:p w:rsidR="002735B0" w:rsidRPr="007D187B" w:rsidRDefault="002735B0" w:rsidP="002735B0">
            <w:pPr>
              <w:rPr>
                <w:rFonts w:ascii="Arial" w:hAnsi="Arial" w:cs="Arial"/>
                <w:color w:val="42145F"/>
              </w:rPr>
            </w:pPr>
          </w:p>
          <w:p w:rsidR="002735B0" w:rsidRPr="00AC1620" w:rsidRDefault="002735B0" w:rsidP="002735B0">
            <w:pPr>
              <w:ind w:left="34"/>
              <w:rPr>
                <w:rFonts w:ascii="Arial" w:hAnsi="Arial" w:cs="Arial"/>
                <w:b/>
                <w:color w:val="165788"/>
              </w:rPr>
            </w:pPr>
            <w:r w:rsidRPr="00AC1620">
              <w:rPr>
                <w:rFonts w:ascii="Arial" w:hAnsi="Arial" w:cs="Arial"/>
                <w:b/>
                <w:color w:val="165788"/>
              </w:rPr>
              <w:t>Liquidity</w:t>
            </w:r>
          </w:p>
          <w:p w:rsidR="002735B0" w:rsidRPr="00AC1620" w:rsidRDefault="002735B0" w:rsidP="002735B0">
            <w:pPr>
              <w:ind w:left="34"/>
              <w:rPr>
                <w:rFonts w:ascii="Arial" w:hAnsi="Arial" w:cs="Arial"/>
                <w:color w:val="165788"/>
              </w:rPr>
            </w:pPr>
            <w:r w:rsidRPr="00AC1620">
              <w:rPr>
                <w:rFonts w:ascii="Arial" w:hAnsi="Arial" w:cs="Arial"/>
                <w:color w:val="165788"/>
              </w:rPr>
              <w:t>The Accountancy Team prepares an annual Cash Flow Statement which is updated weekly and reported to the Managing Director.</w:t>
            </w:r>
            <w:r w:rsidR="00320891" w:rsidRPr="00AC1620">
              <w:rPr>
                <w:rFonts w:ascii="Arial" w:hAnsi="Arial" w:cs="Arial"/>
                <w:color w:val="165788"/>
              </w:rPr>
              <w:t xml:space="preserve"> As recommended by Treasury Consultants and set out in the Treasury Strategy 201</w:t>
            </w:r>
            <w:r w:rsidR="00AC1620" w:rsidRPr="00AC1620">
              <w:rPr>
                <w:rFonts w:ascii="Arial" w:hAnsi="Arial" w:cs="Arial"/>
                <w:color w:val="165788"/>
              </w:rPr>
              <w:t>8</w:t>
            </w:r>
            <w:r w:rsidR="00320891" w:rsidRPr="00AC1620">
              <w:rPr>
                <w:rFonts w:ascii="Arial" w:hAnsi="Arial" w:cs="Arial"/>
                <w:color w:val="165788"/>
              </w:rPr>
              <w:t xml:space="preserve"> the Board </w:t>
            </w:r>
            <w:r w:rsidR="004155DD" w:rsidRPr="00AC1620">
              <w:rPr>
                <w:rFonts w:ascii="Arial" w:hAnsi="Arial" w:cs="Arial"/>
                <w:color w:val="165788"/>
              </w:rPr>
              <w:t>have introduced quarterly cash-flow projections for a rolling 24 month period to understand when bdht need to access further external funding. This is also stress tested by removing the benefit of sales receipts.</w:t>
            </w:r>
          </w:p>
          <w:p w:rsidR="002735B0" w:rsidRDefault="002735B0" w:rsidP="002735B0">
            <w:pPr>
              <w:ind w:left="34"/>
              <w:rPr>
                <w:rFonts w:ascii="Arial" w:hAnsi="Arial" w:cs="Arial"/>
                <w:color w:val="42145F"/>
              </w:rPr>
            </w:pPr>
          </w:p>
          <w:p w:rsidR="00AC1620" w:rsidRPr="007D187B" w:rsidRDefault="00AC1620" w:rsidP="002735B0">
            <w:pPr>
              <w:ind w:left="34"/>
              <w:rPr>
                <w:rFonts w:ascii="Arial" w:hAnsi="Arial" w:cs="Arial"/>
                <w:color w:val="42145F"/>
              </w:rPr>
            </w:pPr>
          </w:p>
          <w:p w:rsidR="002735B0" w:rsidRPr="00AC1620" w:rsidRDefault="002735B0" w:rsidP="002735B0">
            <w:pPr>
              <w:ind w:left="34"/>
              <w:rPr>
                <w:rFonts w:ascii="Arial" w:hAnsi="Arial" w:cs="Arial"/>
                <w:b/>
                <w:color w:val="165788"/>
              </w:rPr>
            </w:pPr>
            <w:r w:rsidRPr="00AC1620">
              <w:rPr>
                <w:rFonts w:ascii="Arial" w:hAnsi="Arial" w:cs="Arial"/>
                <w:b/>
                <w:color w:val="165788"/>
              </w:rPr>
              <w:t>Forecasts</w:t>
            </w:r>
          </w:p>
          <w:p w:rsidR="002735B0" w:rsidRPr="00AC1620" w:rsidRDefault="002735B0" w:rsidP="002735B0">
            <w:pPr>
              <w:ind w:left="34"/>
              <w:rPr>
                <w:rFonts w:ascii="Arial" w:hAnsi="Arial" w:cs="Arial"/>
                <w:color w:val="165788"/>
              </w:rPr>
            </w:pPr>
            <w:r w:rsidRPr="00AC1620">
              <w:rPr>
                <w:rFonts w:ascii="Arial" w:hAnsi="Arial" w:cs="Arial"/>
                <w:color w:val="165788"/>
              </w:rPr>
              <w:t>All financial assumptions in the Business Plan are agreed with the lenders and professional advisors to ensure robustness.</w:t>
            </w:r>
          </w:p>
          <w:p w:rsidR="002735B0" w:rsidRPr="004155DD" w:rsidRDefault="002735B0" w:rsidP="002735B0">
            <w:pPr>
              <w:ind w:left="34"/>
              <w:rPr>
                <w:rFonts w:ascii="Arial" w:hAnsi="Arial" w:cs="Arial"/>
                <w:color w:val="009B3A"/>
              </w:rPr>
            </w:pPr>
          </w:p>
          <w:p w:rsidR="002735B0" w:rsidRPr="00AC1620" w:rsidRDefault="002735B0" w:rsidP="002735B0">
            <w:pPr>
              <w:ind w:left="34"/>
              <w:rPr>
                <w:rFonts w:ascii="Arial" w:hAnsi="Arial" w:cs="Arial"/>
                <w:b/>
                <w:color w:val="165788"/>
              </w:rPr>
            </w:pPr>
            <w:r w:rsidRPr="00AC1620">
              <w:rPr>
                <w:rFonts w:ascii="Arial" w:hAnsi="Arial" w:cs="Arial"/>
                <w:b/>
                <w:color w:val="165788"/>
              </w:rPr>
              <w:t>Risk</w:t>
            </w:r>
          </w:p>
          <w:p w:rsidR="002735B0" w:rsidRPr="00AC1620" w:rsidRDefault="002735B0" w:rsidP="002735B0">
            <w:pPr>
              <w:ind w:left="34"/>
              <w:rPr>
                <w:rFonts w:ascii="Arial" w:hAnsi="Arial" w:cs="Arial"/>
                <w:color w:val="165788"/>
              </w:rPr>
            </w:pPr>
            <w:r w:rsidRPr="00AC1620">
              <w:rPr>
                <w:rFonts w:ascii="Arial" w:hAnsi="Arial" w:cs="Arial"/>
                <w:color w:val="165788"/>
              </w:rPr>
              <w:t xml:space="preserve">The annual Business Plan review includes </w:t>
            </w:r>
            <w:r w:rsidR="004155DD" w:rsidRPr="00AC1620">
              <w:rPr>
                <w:rFonts w:ascii="Arial" w:hAnsi="Arial" w:cs="Arial"/>
                <w:color w:val="165788"/>
              </w:rPr>
              <w:t xml:space="preserve">an evaluation against the agreed Risk Appetite set by Board and </w:t>
            </w:r>
            <w:r w:rsidRPr="00AC1620">
              <w:rPr>
                <w:rFonts w:ascii="Arial" w:hAnsi="Arial" w:cs="Arial"/>
                <w:color w:val="165788"/>
              </w:rPr>
              <w:t>Risk Sensitivity testing</w:t>
            </w:r>
            <w:r w:rsidR="004155DD" w:rsidRPr="00AC1620">
              <w:rPr>
                <w:rFonts w:ascii="Arial" w:hAnsi="Arial" w:cs="Arial"/>
                <w:color w:val="165788"/>
              </w:rPr>
              <w:t>. O</w:t>
            </w:r>
            <w:r w:rsidRPr="00AC1620">
              <w:rPr>
                <w:rFonts w:ascii="Arial" w:hAnsi="Arial" w:cs="Arial"/>
                <w:color w:val="165788"/>
              </w:rPr>
              <w:t>n-going risk management is monitored by the Compliance Committee.</w:t>
            </w:r>
          </w:p>
          <w:p w:rsidR="00AF45CA" w:rsidRPr="00AC1620" w:rsidRDefault="00AF45CA" w:rsidP="002735B0">
            <w:pPr>
              <w:ind w:left="34"/>
              <w:rPr>
                <w:rFonts w:ascii="Arial" w:hAnsi="Arial" w:cs="Arial"/>
                <w:color w:val="165788"/>
              </w:rPr>
            </w:pPr>
          </w:p>
          <w:p w:rsidR="002735B0" w:rsidRPr="00AC1620" w:rsidRDefault="004155DD" w:rsidP="002735B0">
            <w:pPr>
              <w:ind w:left="34"/>
              <w:rPr>
                <w:rFonts w:ascii="Arial" w:hAnsi="Arial" w:cs="Arial"/>
                <w:color w:val="165788"/>
              </w:rPr>
            </w:pPr>
            <w:r w:rsidRPr="00AC1620">
              <w:rPr>
                <w:rFonts w:ascii="Arial" w:hAnsi="Arial" w:cs="Arial"/>
                <w:color w:val="165788"/>
              </w:rPr>
              <w:t>The</w:t>
            </w:r>
            <w:r w:rsidR="00AF45CA" w:rsidRPr="00AC1620">
              <w:rPr>
                <w:rFonts w:ascii="Arial" w:hAnsi="Arial" w:cs="Arial"/>
                <w:color w:val="165788"/>
              </w:rPr>
              <w:t xml:space="preserve"> Strategic Balanced Scorecard (SBS) of performance indicators </w:t>
            </w:r>
            <w:r w:rsidRPr="00AC1620">
              <w:rPr>
                <w:rFonts w:ascii="Arial" w:hAnsi="Arial" w:cs="Arial"/>
                <w:color w:val="165788"/>
              </w:rPr>
              <w:t>is</w:t>
            </w:r>
            <w:r w:rsidR="00AF45CA" w:rsidRPr="00AC1620">
              <w:rPr>
                <w:rFonts w:ascii="Arial" w:hAnsi="Arial" w:cs="Arial"/>
                <w:color w:val="165788"/>
              </w:rPr>
              <w:t xml:space="preserve"> aligned directly to the High Level Risk Register. The SBS is distributed to all Board members monthly and considered in detail by the PRC quarterly</w:t>
            </w:r>
            <w:r w:rsidR="00AC1620" w:rsidRPr="00AC1620">
              <w:rPr>
                <w:rFonts w:ascii="Arial" w:hAnsi="Arial" w:cs="Arial"/>
                <w:color w:val="165788"/>
              </w:rPr>
              <w:t xml:space="preserve"> (from Quarter 1 2018/19 the Compliance Committee)</w:t>
            </w:r>
            <w:r w:rsidR="00AF45CA" w:rsidRPr="00AC1620">
              <w:rPr>
                <w:rFonts w:ascii="Arial" w:hAnsi="Arial" w:cs="Arial"/>
                <w:color w:val="165788"/>
              </w:rPr>
              <w:t>.</w:t>
            </w:r>
          </w:p>
          <w:p w:rsidR="00AF45CA" w:rsidRPr="00AC1620" w:rsidRDefault="00AF45CA" w:rsidP="002735B0">
            <w:pPr>
              <w:ind w:left="34"/>
              <w:rPr>
                <w:rFonts w:ascii="Arial" w:hAnsi="Arial" w:cs="Arial"/>
                <w:color w:val="165788"/>
              </w:rPr>
            </w:pPr>
          </w:p>
          <w:p w:rsidR="00AF45CA" w:rsidRPr="00AC1620" w:rsidRDefault="00AF45CA" w:rsidP="002735B0">
            <w:pPr>
              <w:ind w:left="34"/>
              <w:rPr>
                <w:rFonts w:ascii="Arial" w:hAnsi="Arial" w:cs="Arial"/>
                <w:color w:val="165788"/>
              </w:rPr>
            </w:pPr>
            <w:r w:rsidRPr="00AC1620">
              <w:rPr>
                <w:rFonts w:ascii="Arial" w:hAnsi="Arial" w:cs="Arial"/>
                <w:color w:val="165788"/>
              </w:rPr>
              <w:t xml:space="preserve">The Business Plan </w:t>
            </w:r>
            <w:r w:rsidR="00AC1620" w:rsidRPr="00AC1620">
              <w:rPr>
                <w:rFonts w:ascii="Arial" w:hAnsi="Arial" w:cs="Arial"/>
                <w:color w:val="165788"/>
              </w:rPr>
              <w:t>is annually</w:t>
            </w:r>
            <w:r w:rsidRPr="00AC1620">
              <w:rPr>
                <w:rFonts w:ascii="Arial" w:hAnsi="Arial" w:cs="Arial"/>
                <w:color w:val="165788"/>
              </w:rPr>
              <w:t xml:space="preserve"> tested “to destruction” </w:t>
            </w:r>
            <w:r w:rsidR="004155DD" w:rsidRPr="00AC1620">
              <w:rPr>
                <w:rFonts w:ascii="Arial" w:hAnsi="Arial" w:cs="Arial"/>
                <w:color w:val="165788"/>
              </w:rPr>
              <w:t xml:space="preserve">as part of the Business Planning process </w:t>
            </w:r>
            <w:r w:rsidRPr="00AC1620">
              <w:rPr>
                <w:rFonts w:ascii="Arial" w:hAnsi="Arial" w:cs="Arial"/>
                <w:color w:val="165788"/>
              </w:rPr>
              <w:t>with a mitigation strategy developed in response to the identified “perfect storm”.</w:t>
            </w:r>
          </w:p>
          <w:p w:rsidR="00AF45CA" w:rsidRPr="00AC1620" w:rsidRDefault="00AF45CA" w:rsidP="002735B0">
            <w:pPr>
              <w:ind w:left="34"/>
              <w:rPr>
                <w:rFonts w:ascii="Arial" w:hAnsi="Arial" w:cs="Arial"/>
                <w:color w:val="165788"/>
              </w:rPr>
            </w:pPr>
            <w:r w:rsidRPr="00AC1620">
              <w:rPr>
                <w:rFonts w:ascii="Arial" w:hAnsi="Arial" w:cs="Arial"/>
                <w:color w:val="165788"/>
              </w:rPr>
              <w:t xml:space="preserve"> </w:t>
            </w:r>
          </w:p>
          <w:p w:rsidR="002735B0" w:rsidRPr="00AC1620" w:rsidRDefault="002735B0" w:rsidP="002735B0">
            <w:pPr>
              <w:ind w:left="34"/>
              <w:rPr>
                <w:rFonts w:ascii="Arial" w:hAnsi="Arial" w:cs="Arial"/>
                <w:b/>
                <w:color w:val="165788"/>
              </w:rPr>
            </w:pPr>
            <w:r w:rsidRPr="00AC1620">
              <w:rPr>
                <w:rFonts w:ascii="Arial" w:hAnsi="Arial" w:cs="Arial"/>
                <w:b/>
                <w:color w:val="165788"/>
              </w:rPr>
              <w:t>Monitoring</w:t>
            </w:r>
          </w:p>
          <w:p w:rsidR="003E40A9" w:rsidRPr="00AC1620" w:rsidRDefault="002735B0" w:rsidP="002735B0">
            <w:pPr>
              <w:ind w:left="33"/>
              <w:rPr>
                <w:rFonts w:ascii="Arial" w:hAnsi="Arial" w:cs="Arial"/>
                <w:color w:val="165788"/>
              </w:rPr>
            </w:pPr>
            <w:r w:rsidRPr="00AC1620">
              <w:rPr>
                <w:rFonts w:ascii="Arial" w:hAnsi="Arial" w:cs="Arial"/>
                <w:color w:val="165788"/>
              </w:rPr>
              <w:t>Quarterly monitoring reports are provided to the funders to measure compliance with formal covenants.</w:t>
            </w:r>
          </w:p>
          <w:p w:rsidR="00AF45CA" w:rsidRPr="007D187B" w:rsidRDefault="00AF45CA" w:rsidP="002735B0">
            <w:pPr>
              <w:ind w:left="33"/>
              <w:rPr>
                <w:rFonts w:ascii="Arial" w:hAnsi="Arial" w:cs="Arial"/>
                <w:color w:val="42145F"/>
              </w:rPr>
            </w:pPr>
          </w:p>
        </w:tc>
      </w:tr>
      <w:tr w:rsidR="003E40A9" w:rsidRPr="007C4B1F" w:rsidTr="009A3ED0">
        <w:trPr>
          <w:trHeight w:val="318"/>
        </w:trPr>
        <w:tc>
          <w:tcPr>
            <w:tcW w:w="988" w:type="dxa"/>
            <w:shd w:val="clear" w:color="auto" w:fill="auto"/>
            <w:vAlign w:val="center"/>
          </w:tcPr>
          <w:p w:rsidR="003E40A9" w:rsidRPr="00414434" w:rsidRDefault="003E40A9" w:rsidP="001B5277">
            <w:pPr>
              <w:ind w:left="880" w:hanging="880"/>
              <w:jc w:val="center"/>
              <w:rPr>
                <w:rFonts w:ascii="Arial" w:hAnsi="Arial" w:cs="Arial"/>
                <w:b/>
              </w:rPr>
            </w:pPr>
            <w:r w:rsidRPr="00414434">
              <w:rPr>
                <w:rFonts w:ascii="Arial" w:hAnsi="Arial" w:cs="Arial"/>
                <w:b/>
              </w:rPr>
              <w:t>2.5</w:t>
            </w:r>
          </w:p>
        </w:tc>
        <w:tc>
          <w:tcPr>
            <w:tcW w:w="13041" w:type="dxa"/>
            <w:shd w:val="clear" w:color="auto" w:fill="auto"/>
          </w:tcPr>
          <w:p w:rsidR="003E40A9" w:rsidRPr="00414434" w:rsidRDefault="003E40A9" w:rsidP="003E40A9">
            <w:pPr>
              <w:ind w:left="33"/>
              <w:rPr>
                <w:rFonts w:ascii="Arial" w:hAnsi="Arial" w:cs="Arial"/>
                <w:b/>
              </w:rPr>
            </w:pPr>
            <w:r w:rsidRPr="00414434">
              <w:rPr>
                <w:rFonts w:ascii="Arial" w:hAnsi="Arial" w:cs="Arial"/>
                <w:b/>
              </w:rPr>
              <w:t>In addition to the above registered providers shall assess, manage and where appropriate address risks to ensure the long term viability of the registered provider, including ensuring that social housing assets are protected. Registered providers shall do so by:</w:t>
            </w:r>
          </w:p>
          <w:p w:rsidR="003E40A9" w:rsidRPr="00414434" w:rsidRDefault="003E40A9" w:rsidP="00896CA9">
            <w:pPr>
              <w:pStyle w:val="ListParagraph"/>
              <w:numPr>
                <w:ilvl w:val="0"/>
                <w:numId w:val="7"/>
              </w:numPr>
              <w:rPr>
                <w:rFonts w:ascii="Arial" w:hAnsi="Arial" w:cs="Arial"/>
                <w:b/>
              </w:rPr>
            </w:pPr>
            <w:r w:rsidRPr="00414434">
              <w:rPr>
                <w:rFonts w:ascii="Arial" w:hAnsi="Arial" w:cs="Arial"/>
                <w:b/>
              </w:rPr>
              <w:t>maintaining a thorough, accurate and up to date record of their assets and liabilities and particularly those liabilities that may have recourse to social housing assets</w:t>
            </w:r>
          </w:p>
          <w:p w:rsidR="003E40A9" w:rsidRPr="00414434" w:rsidRDefault="003E40A9" w:rsidP="00896CA9">
            <w:pPr>
              <w:pStyle w:val="ListParagraph"/>
              <w:numPr>
                <w:ilvl w:val="0"/>
                <w:numId w:val="7"/>
              </w:numPr>
              <w:rPr>
                <w:rFonts w:ascii="Arial" w:hAnsi="Arial" w:cs="Arial"/>
                <w:b/>
              </w:rPr>
            </w:pPr>
            <w:r w:rsidRPr="00414434">
              <w:rPr>
                <w:rFonts w:ascii="Arial" w:hAnsi="Arial" w:cs="Arial"/>
                <w:b/>
              </w:rPr>
              <w:t>carrying out detailed and robust stress testing against identified risks and combinations of risks across a range of scenarios and putting appropriate mitigation strategies in place as a result.</w:t>
            </w:r>
          </w:p>
          <w:p w:rsidR="003E40A9" w:rsidRPr="00414434" w:rsidRDefault="003E40A9" w:rsidP="00896CA9">
            <w:pPr>
              <w:pStyle w:val="ListParagraph"/>
              <w:numPr>
                <w:ilvl w:val="0"/>
                <w:numId w:val="7"/>
              </w:numPr>
              <w:rPr>
                <w:rFonts w:ascii="Arial" w:hAnsi="Arial" w:cs="Arial"/>
                <w:b/>
              </w:rPr>
            </w:pPr>
            <w:r w:rsidRPr="00414434">
              <w:rPr>
                <w:rFonts w:ascii="Arial" w:hAnsi="Arial" w:cs="Arial"/>
                <w:b/>
              </w:rPr>
              <w:t>before taking on new liabilities, ensuring that they understand and manage the likely impact on current and future business and regulatory compliance.</w:t>
            </w:r>
          </w:p>
          <w:p w:rsidR="003E40A9" w:rsidRPr="00414434" w:rsidRDefault="003E40A9" w:rsidP="003E40A9">
            <w:pPr>
              <w:ind w:left="33"/>
              <w:rPr>
                <w:rFonts w:ascii="Arial" w:hAnsi="Arial" w:cs="Arial"/>
                <w:b/>
              </w:rPr>
            </w:pPr>
          </w:p>
        </w:tc>
      </w:tr>
      <w:tr w:rsidR="003E40A9" w:rsidRPr="007C4B1F" w:rsidTr="009A3ED0">
        <w:trPr>
          <w:trHeight w:val="397"/>
        </w:trPr>
        <w:tc>
          <w:tcPr>
            <w:tcW w:w="14029" w:type="dxa"/>
            <w:gridSpan w:val="2"/>
            <w:shd w:val="clear" w:color="auto" w:fill="auto"/>
          </w:tcPr>
          <w:p w:rsidR="003E40A9" w:rsidRPr="00AC1620" w:rsidRDefault="001B5277" w:rsidP="001B5277">
            <w:pPr>
              <w:ind w:left="33"/>
              <w:rPr>
                <w:rFonts w:ascii="Arial" w:hAnsi="Arial" w:cs="Arial"/>
                <w:b/>
              </w:rPr>
            </w:pPr>
            <w:r w:rsidRPr="00AC1620">
              <w:rPr>
                <w:rFonts w:ascii="Arial" w:hAnsi="Arial" w:cs="Arial"/>
                <w:b/>
              </w:rPr>
              <w:t xml:space="preserve">Code of Practice: </w:t>
            </w:r>
            <w:r w:rsidRPr="00AC1620">
              <w:rPr>
                <w:rFonts w:ascii="Arial" w:hAnsi="Arial" w:cs="Arial"/>
                <w:b/>
                <w:bCs/>
              </w:rPr>
              <w:t>Specific expectations applicable to all registered providers; paragraph 2.5</w:t>
            </w:r>
          </w:p>
        </w:tc>
      </w:tr>
      <w:tr w:rsidR="003E40A9" w:rsidRPr="007C4B1F" w:rsidTr="009A3ED0">
        <w:trPr>
          <w:trHeight w:val="318"/>
        </w:trPr>
        <w:tc>
          <w:tcPr>
            <w:tcW w:w="988" w:type="dxa"/>
            <w:shd w:val="clear" w:color="auto" w:fill="auto"/>
            <w:vAlign w:val="center"/>
          </w:tcPr>
          <w:p w:rsidR="003E40A9" w:rsidRPr="001B5277" w:rsidRDefault="001B5277" w:rsidP="001B5277">
            <w:pPr>
              <w:ind w:left="880" w:hanging="880"/>
              <w:jc w:val="center"/>
              <w:rPr>
                <w:rFonts w:ascii="Arial" w:hAnsi="Arial" w:cs="Arial"/>
              </w:rPr>
            </w:pPr>
            <w:r w:rsidRPr="001B5277">
              <w:rPr>
                <w:rFonts w:ascii="Arial" w:hAnsi="Arial" w:cs="Arial"/>
              </w:rPr>
              <w:t>29</w:t>
            </w:r>
          </w:p>
        </w:tc>
        <w:tc>
          <w:tcPr>
            <w:tcW w:w="13041" w:type="dxa"/>
            <w:shd w:val="clear" w:color="auto" w:fill="auto"/>
          </w:tcPr>
          <w:p w:rsidR="003E40A9" w:rsidRPr="001B5277" w:rsidRDefault="001B5277" w:rsidP="003E40A9">
            <w:pPr>
              <w:ind w:left="33"/>
              <w:rPr>
                <w:rFonts w:ascii="Arial" w:hAnsi="Arial" w:cs="Arial"/>
                <w:b/>
              </w:rPr>
            </w:pPr>
            <w:r w:rsidRPr="001B5277">
              <w:rPr>
                <w:rFonts w:ascii="Arial" w:hAnsi="Arial" w:cs="Arial"/>
              </w:rPr>
              <w:t>Boards are the custodians of social housing assets and the financial viability of the registered providers that hold those assets. The responsibility for managing risks, and specifically risks to social housing assets, lies with boards. As social housing is a long term asset, normally funded by long-term debt, it follows that boards need to maintain a long-term perspective on managing risk. They need to ensure that their decisions do not put short-term gains ahead of the long term sustainability of the business and the security of their social housing assets.</w:t>
            </w:r>
          </w:p>
        </w:tc>
      </w:tr>
      <w:tr w:rsidR="003E40A9" w:rsidRPr="007C4B1F" w:rsidTr="009A3ED0">
        <w:trPr>
          <w:trHeight w:val="318"/>
        </w:trPr>
        <w:tc>
          <w:tcPr>
            <w:tcW w:w="988" w:type="dxa"/>
            <w:shd w:val="clear" w:color="auto" w:fill="auto"/>
            <w:vAlign w:val="center"/>
          </w:tcPr>
          <w:p w:rsidR="003E40A9" w:rsidRDefault="001B5277" w:rsidP="001B5277">
            <w:pPr>
              <w:ind w:left="880" w:hanging="880"/>
              <w:jc w:val="center"/>
              <w:rPr>
                <w:rFonts w:ascii="Arial" w:hAnsi="Arial" w:cs="Arial"/>
              </w:rPr>
            </w:pPr>
            <w:r>
              <w:rPr>
                <w:rFonts w:ascii="Arial" w:hAnsi="Arial" w:cs="Arial"/>
              </w:rPr>
              <w:t>30</w:t>
            </w:r>
          </w:p>
          <w:p w:rsidR="001B5277" w:rsidRPr="001B5277" w:rsidRDefault="001B5277" w:rsidP="001B5277">
            <w:pPr>
              <w:ind w:left="880" w:hanging="880"/>
              <w:jc w:val="center"/>
              <w:rPr>
                <w:rFonts w:ascii="Arial" w:hAnsi="Arial" w:cs="Arial"/>
              </w:rPr>
            </w:pPr>
            <w:r>
              <w:rPr>
                <w:rFonts w:ascii="Arial" w:hAnsi="Arial" w:cs="Arial"/>
              </w:rPr>
              <w:t>2.5a</w:t>
            </w:r>
          </w:p>
        </w:tc>
        <w:tc>
          <w:tcPr>
            <w:tcW w:w="13041" w:type="dxa"/>
            <w:shd w:val="clear" w:color="auto" w:fill="auto"/>
          </w:tcPr>
          <w:p w:rsidR="003E40A9" w:rsidRPr="001B5277" w:rsidRDefault="001B5277" w:rsidP="003E40A9">
            <w:pPr>
              <w:ind w:left="33"/>
              <w:rPr>
                <w:rFonts w:ascii="Arial" w:hAnsi="Arial" w:cs="Arial"/>
                <w:b/>
              </w:rPr>
            </w:pPr>
            <w:r w:rsidRPr="001B5277">
              <w:rPr>
                <w:rFonts w:ascii="Arial" w:hAnsi="Arial" w:cs="Arial"/>
              </w:rPr>
              <w:t>The primary purpose of this requirement is to ensure that registered providers understand their housing assets and security position and have swift access to this information in decision making and risk management. Such information needs to be readily available in the event of a potential or actual failure of the registered provider. This will enable the regulator to draw up resolution strategies and aid a potential rescuer to value the social housing assets. The asset and liability register should contain sufficient information to enable a potential buyer to accurately price the value of the business and/or the value of the social housing assets in the event of distress.</w:t>
            </w:r>
          </w:p>
        </w:tc>
      </w:tr>
      <w:tr w:rsidR="003E40A9" w:rsidRPr="007C4B1F" w:rsidTr="009A3ED0">
        <w:trPr>
          <w:trHeight w:val="318"/>
        </w:trPr>
        <w:tc>
          <w:tcPr>
            <w:tcW w:w="988" w:type="dxa"/>
            <w:shd w:val="clear" w:color="auto" w:fill="auto"/>
            <w:vAlign w:val="center"/>
          </w:tcPr>
          <w:p w:rsidR="003E40A9" w:rsidRDefault="001B5277" w:rsidP="001B5277">
            <w:pPr>
              <w:ind w:left="880" w:hanging="880"/>
              <w:jc w:val="center"/>
              <w:rPr>
                <w:rFonts w:ascii="Arial" w:hAnsi="Arial" w:cs="Arial"/>
              </w:rPr>
            </w:pPr>
            <w:r>
              <w:rPr>
                <w:rFonts w:ascii="Arial" w:hAnsi="Arial" w:cs="Arial"/>
              </w:rPr>
              <w:t>31</w:t>
            </w:r>
          </w:p>
          <w:p w:rsidR="001B5277" w:rsidRPr="001B5277" w:rsidRDefault="001B5277" w:rsidP="001B5277">
            <w:pPr>
              <w:ind w:left="880" w:hanging="880"/>
              <w:jc w:val="center"/>
              <w:rPr>
                <w:rFonts w:ascii="Arial" w:hAnsi="Arial" w:cs="Arial"/>
              </w:rPr>
            </w:pPr>
            <w:r>
              <w:rPr>
                <w:rFonts w:ascii="Arial" w:hAnsi="Arial" w:cs="Arial"/>
              </w:rPr>
              <w:t>2.5a</w:t>
            </w:r>
          </w:p>
        </w:tc>
        <w:tc>
          <w:tcPr>
            <w:tcW w:w="13041" w:type="dxa"/>
            <w:shd w:val="clear" w:color="auto" w:fill="auto"/>
          </w:tcPr>
          <w:p w:rsidR="003E40A9" w:rsidRPr="001B5277" w:rsidRDefault="001B5277" w:rsidP="003E40A9">
            <w:pPr>
              <w:ind w:left="33"/>
              <w:rPr>
                <w:rFonts w:ascii="Arial" w:hAnsi="Arial" w:cs="Arial"/>
                <w:b/>
              </w:rPr>
            </w:pPr>
            <w:r w:rsidRPr="001B5277">
              <w:rPr>
                <w:rFonts w:ascii="Arial" w:hAnsi="Arial" w:cs="Arial"/>
              </w:rPr>
              <w:t>It is for registered providers to ensure such information is accurate and up-to-date. They should be able to produce an overview for the regulator at short notice. The records need to cover the breadth of the registered provider’s activities (including activities carried out in subsidiaries, joint ventures and SPVs) and identify its assets and liabilities. The regulator does not prescribe the format of such records. The approach taken is likely to vary according to the size and complexity of the registered provider. The regulator expects that a registered provider’s board will oversee the maintenance of these records and that they are readily reconcilable and regularly reconciled.</w:t>
            </w:r>
          </w:p>
        </w:tc>
      </w:tr>
      <w:tr w:rsidR="003E40A9" w:rsidRPr="007C4B1F" w:rsidTr="009A3ED0">
        <w:trPr>
          <w:trHeight w:val="318"/>
        </w:trPr>
        <w:tc>
          <w:tcPr>
            <w:tcW w:w="988" w:type="dxa"/>
            <w:shd w:val="clear" w:color="auto" w:fill="auto"/>
            <w:vAlign w:val="center"/>
          </w:tcPr>
          <w:p w:rsidR="003E40A9" w:rsidRDefault="001B5277" w:rsidP="001B5277">
            <w:pPr>
              <w:ind w:left="880" w:hanging="880"/>
              <w:jc w:val="center"/>
              <w:rPr>
                <w:rFonts w:ascii="Arial" w:hAnsi="Arial" w:cs="Arial"/>
              </w:rPr>
            </w:pPr>
            <w:r>
              <w:rPr>
                <w:rFonts w:ascii="Arial" w:hAnsi="Arial" w:cs="Arial"/>
              </w:rPr>
              <w:t>32</w:t>
            </w:r>
          </w:p>
          <w:p w:rsidR="001B5277" w:rsidRPr="001B5277" w:rsidRDefault="001B5277" w:rsidP="001B5277">
            <w:pPr>
              <w:ind w:left="880" w:hanging="880"/>
              <w:jc w:val="center"/>
              <w:rPr>
                <w:rFonts w:ascii="Arial" w:hAnsi="Arial" w:cs="Arial"/>
              </w:rPr>
            </w:pPr>
            <w:r>
              <w:rPr>
                <w:rFonts w:ascii="Arial" w:hAnsi="Arial" w:cs="Arial"/>
              </w:rPr>
              <w:t>2.5a</w:t>
            </w:r>
          </w:p>
        </w:tc>
        <w:tc>
          <w:tcPr>
            <w:tcW w:w="13041" w:type="dxa"/>
            <w:shd w:val="clear" w:color="auto" w:fill="auto"/>
          </w:tcPr>
          <w:p w:rsidR="003E40A9" w:rsidRPr="001B5277" w:rsidRDefault="001B5277" w:rsidP="003E40A9">
            <w:pPr>
              <w:ind w:left="33"/>
              <w:rPr>
                <w:rFonts w:ascii="Arial" w:hAnsi="Arial" w:cs="Arial"/>
                <w:b/>
              </w:rPr>
            </w:pPr>
            <w:r w:rsidRPr="001B5277">
              <w:rPr>
                <w:rFonts w:ascii="Arial" w:hAnsi="Arial" w:cs="Arial"/>
              </w:rPr>
              <w:t>Asset records should clearly identify social housing assets and where these assets are encumbered. Such records would normally include, but are not limited to, treasury arrangements, key contracts, title information and any restrictions on that title (for example planning obligations, charitable or other restrictions), valuations, stock condition and lender covenants.</w:t>
            </w:r>
          </w:p>
        </w:tc>
      </w:tr>
      <w:tr w:rsidR="003E40A9" w:rsidRPr="007C4B1F" w:rsidTr="009A3ED0">
        <w:trPr>
          <w:trHeight w:val="318"/>
        </w:trPr>
        <w:tc>
          <w:tcPr>
            <w:tcW w:w="988" w:type="dxa"/>
            <w:shd w:val="clear" w:color="auto" w:fill="auto"/>
            <w:vAlign w:val="center"/>
          </w:tcPr>
          <w:p w:rsidR="003E40A9" w:rsidRDefault="001B5277" w:rsidP="001B5277">
            <w:pPr>
              <w:ind w:left="880" w:hanging="880"/>
              <w:jc w:val="center"/>
              <w:rPr>
                <w:rFonts w:ascii="Arial" w:hAnsi="Arial" w:cs="Arial"/>
              </w:rPr>
            </w:pPr>
            <w:r>
              <w:rPr>
                <w:rFonts w:ascii="Arial" w:hAnsi="Arial" w:cs="Arial"/>
              </w:rPr>
              <w:t>33</w:t>
            </w:r>
          </w:p>
          <w:p w:rsidR="001B5277" w:rsidRPr="001B5277" w:rsidRDefault="001B5277" w:rsidP="001B5277">
            <w:pPr>
              <w:ind w:left="880" w:hanging="880"/>
              <w:jc w:val="center"/>
              <w:rPr>
                <w:rFonts w:ascii="Arial" w:hAnsi="Arial" w:cs="Arial"/>
              </w:rPr>
            </w:pPr>
            <w:r>
              <w:rPr>
                <w:rFonts w:ascii="Arial" w:hAnsi="Arial" w:cs="Arial"/>
              </w:rPr>
              <w:t>2.5a</w:t>
            </w:r>
          </w:p>
        </w:tc>
        <w:tc>
          <w:tcPr>
            <w:tcW w:w="13041" w:type="dxa"/>
            <w:shd w:val="clear" w:color="auto" w:fill="auto"/>
          </w:tcPr>
          <w:p w:rsidR="001B5277" w:rsidRPr="001B5277" w:rsidRDefault="001B5277" w:rsidP="001B5277">
            <w:pPr>
              <w:autoSpaceDE w:val="0"/>
              <w:autoSpaceDN w:val="0"/>
              <w:adjustRightInd w:val="0"/>
              <w:rPr>
                <w:rFonts w:ascii="Arial" w:hAnsi="Arial" w:cs="Arial"/>
                <w:color w:val="000000"/>
                <w:lang w:eastAsia="en-GB" w:bidi="ar-SA"/>
              </w:rPr>
            </w:pPr>
            <w:r w:rsidRPr="001B5277">
              <w:rPr>
                <w:rFonts w:ascii="Arial" w:hAnsi="Arial" w:cs="Arial"/>
                <w:color w:val="000000"/>
                <w:lang w:eastAsia="en-GB" w:bidi="ar-SA"/>
              </w:rPr>
              <w:t xml:space="preserve">Registered providers should consider and record their liabilities in the widest context. The regulator considers the liabilities should include items which relate directly to the social housing assets and those which might have an impact on the business as a whole. This may include, but is not limited to: </w:t>
            </w:r>
          </w:p>
          <w:p w:rsidR="001B5277" w:rsidRPr="001B5277" w:rsidRDefault="001B5277" w:rsidP="00896CA9">
            <w:pPr>
              <w:pStyle w:val="ListParagraph"/>
              <w:numPr>
                <w:ilvl w:val="0"/>
                <w:numId w:val="12"/>
              </w:numPr>
              <w:autoSpaceDE w:val="0"/>
              <w:autoSpaceDN w:val="0"/>
              <w:adjustRightInd w:val="0"/>
              <w:spacing w:after="55"/>
              <w:rPr>
                <w:rFonts w:ascii="Arial" w:hAnsi="Arial" w:cs="Arial"/>
                <w:color w:val="000000"/>
                <w:lang w:eastAsia="en-GB" w:bidi="ar-SA"/>
              </w:rPr>
            </w:pPr>
            <w:r w:rsidRPr="001B5277">
              <w:rPr>
                <w:rFonts w:ascii="Arial" w:hAnsi="Arial" w:cs="Arial"/>
                <w:color w:val="000000"/>
                <w:lang w:eastAsia="en-GB" w:bidi="ar-SA"/>
              </w:rPr>
              <w:t xml:space="preserve">loans including borrowing from other group companies or related undertakings </w:t>
            </w:r>
          </w:p>
          <w:p w:rsidR="001B5277" w:rsidRPr="001B5277" w:rsidRDefault="001B5277" w:rsidP="00896CA9">
            <w:pPr>
              <w:pStyle w:val="ListParagraph"/>
              <w:numPr>
                <w:ilvl w:val="0"/>
                <w:numId w:val="12"/>
              </w:numPr>
              <w:autoSpaceDE w:val="0"/>
              <w:autoSpaceDN w:val="0"/>
              <w:adjustRightInd w:val="0"/>
              <w:spacing w:after="55"/>
              <w:rPr>
                <w:rFonts w:ascii="Arial" w:hAnsi="Arial" w:cs="Arial"/>
                <w:color w:val="000000"/>
                <w:lang w:eastAsia="en-GB" w:bidi="ar-SA"/>
              </w:rPr>
            </w:pPr>
            <w:r w:rsidRPr="001B5277">
              <w:rPr>
                <w:rFonts w:ascii="Arial" w:hAnsi="Arial" w:cs="Arial"/>
                <w:color w:val="000000"/>
                <w:lang w:eastAsia="en-GB" w:bidi="ar-SA"/>
              </w:rPr>
              <w:t xml:space="preserve">guarantees, indemnities etc. including those provided to subsidiaries and SPVs, whether secured or unsecured </w:t>
            </w:r>
          </w:p>
          <w:p w:rsidR="001B5277" w:rsidRPr="001B5277" w:rsidRDefault="001B5277" w:rsidP="00896CA9">
            <w:pPr>
              <w:pStyle w:val="ListParagraph"/>
              <w:numPr>
                <w:ilvl w:val="0"/>
                <w:numId w:val="12"/>
              </w:numPr>
              <w:autoSpaceDE w:val="0"/>
              <w:autoSpaceDN w:val="0"/>
              <w:adjustRightInd w:val="0"/>
              <w:spacing w:after="55"/>
              <w:rPr>
                <w:rFonts w:ascii="Arial" w:hAnsi="Arial" w:cs="Arial"/>
                <w:color w:val="000000"/>
                <w:lang w:eastAsia="en-GB" w:bidi="ar-SA"/>
              </w:rPr>
            </w:pPr>
            <w:r w:rsidRPr="001B5277">
              <w:rPr>
                <w:rFonts w:ascii="Arial" w:hAnsi="Arial" w:cs="Arial"/>
                <w:color w:val="000000"/>
                <w:lang w:eastAsia="en-GB" w:bidi="ar-SA"/>
              </w:rPr>
              <w:t xml:space="preserve">leases, sale/lease and leaseback transactions </w:t>
            </w:r>
          </w:p>
          <w:p w:rsidR="001B5277" w:rsidRPr="001B5277" w:rsidRDefault="001B5277" w:rsidP="00896CA9">
            <w:pPr>
              <w:pStyle w:val="ListParagraph"/>
              <w:numPr>
                <w:ilvl w:val="0"/>
                <w:numId w:val="12"/>
              </w:numPr>
              <w:autoSpaceDE w:val="0"/>
              <w:autoSpaceDN w:val="0"/>
              <w:adjustRightInd w:val="0"/>
              <w:rPr>
                <w:rFonts w:ascii="Arial" w:hAnsi="Arial" w:cs="Arial"/>
                <w:color w:val="000000"/>
                <w:lang w:eastAsia="en-GB" w:bidi="ar-SA"/>
              </w:rPr>
            </w:pPr>
            <w:r w:rsidRPr="001B5277">
              <w:rPr>
                <w:rFonts w:ascii="Arial" w:hAnsi="Arial" w:cs="Arial"/>
                <w:color w:val="000000"/>
                <w:lang w:eastAsia="en-GB" w:bidi="ar-SA"/>
              </w:rPr>
              <w:t xml:space="preserve">mark-to-market exposures on derivative positions </w:t>
            </w:r>
          </w:p>
          <w:p w:rsidR="001B5277" w:rsidRPr="001B5277" w:rsidRDefault="001B5277" w:rsidP="00896CA9">
            <w:pPr>
              <w:pStyle w:val="ListParagraph"/>
              <w:numPr>
                <w:ilvl w:val="0"/>
                <w:numId w:val="12"/>
              </w:numPr>
              <w:autoSpaceDE w:val="0"/>
              <w:autoSpaceDN w:val="0"/>
              <w:adjustRightInd w:val="0"/>
              <w:spacing w:after="54"/>
              <w:rPr>
                <w:rFonts w:ascii="Arial" w:hAnsi="Arial" w:cs="Arial"/>
                <w:color w:val="000000"/>
                <w:lang w:eastAsia="en-GB" w:bidi="ar-SA"/>
              </w:rPr>
            </w:pPr>
            <w:r w:rsidRPr="001B5277">
              <w:rPr>
                <w:rFonts w:ascii="Arial" w:hAnsi="Arial" w:cs="Arial"/>
                <w:color w:val="000000"/>
                <w:lang w:eastAsia="en-GB" w:bidi="ar-SA"/>
              </w:rPr>
              <w:t xml:space="preserve">cross default provisions (for example, a provision in a loan agreement which provides that a default on one loan agreement gives rise to a default on another one, including where these potentially cross between entities) </w:t>
            </w:r>
          </w:p>
          <w:p w:rsidR="001B5277" w:rsidRPr="001B5277" w:rsidRDefault="001B5277" w:rsidP="00896CA9">
            <w:pPr>
              <w:pStyle w:val="ListParagraph"/>
              <w:numPr>
                <w:ilvl w:val="0"/>
                <w:numId w:val="12"/>
              </w:numPr>
              <w:autoSpaceDE w:val="0"/>
              <w:autoSpaceDN w:val="0"/>
              <w:adjustRightInd w:val="0"/>
              <w:spacing w:after="54"/>
              <w:rPr>
                <w:rFonts w:ascii="Arial" w:hAnsi="Arial" w:cs="Arial"/>
                <w:color w:val="000000"/>
                <w:lang w:eastAsia="en-GB" w:bidi="ar-SA"/>
              </w:rPr>
            </w:pPr>
            <w:r w:rsidRPr="001B5277">
              <w:rPr>
                <w:rFonts w:ascii="Arial" w:hAnsi="Arial" w:cs="Arial"/>
                <w:color w:val="000000"/>
                <w:lang w:eastAsia="en-GB" w:bidi="ar-SA"/>
              </w:rPr>
              <w:t xml:space="preserve">a duty or responsibility that obligates the entity to another, leaving it little or no discretion to avoid settlement4 </w:t>
            </w:r>
          </w:p>
          <w:p w:rsidR="001B5277" w:rsidRPr="001B5277" w:rsidRDefault="001B5277" w:rsidP="00896CA9">
            <w:pPr>
              <w:pStyle w:val="ListParagraph"/>
              <w:numPr>
                <w:ilvl w:val="0"/>
                <w:numId w:val="12"/>
              </w:numPr>
              <w:autoSpaceDE w:val="0"/>
              <w:autoSpaceDN w:val="0"/>
              <w:adjustRightInd w:val="0"/>
              <w:rPr>
                <w:rFonts w:ascii="Arial" w:hAnsi="Arial" w:cs="Arial"/>
                <w:color w:val="000000"/>
                <w:lang w:eastAsia="en-GB" w:bidi="ar-SA"/>
              </w:rPr>
            </w:pPr>
            <w:r w:rsidRPr="001B5277">
              <w:rPr>
                <w:rFonts w:ascii="Arial" w:hAnsi="Arial" w:cs="Arial"/>
                <w:color w:val="000000"/>
                <w:lang w:eastAsia="en-GB" w:bidi="ar-SA"/>
              </w:rPr>
              <w:t xml:space="preserve">the potential for any impairment particularly in relation to investments in non-core activities </w:t>
            </w:r>
          </w:p>
          <w:p w:rsidR="003E40A9" w:rsidRPr="001B5277" w:rsidRDefault="003E40A9" w:rsidP="003E40A9">
            <w:pPr>
              <w:ind w:left="33"/>
              <w:rPr>
                <w:rFonts w:ascii="Arial" w:hAnsi="Arial" w:cs="Arial"/>
                <w:b/>
              </w:rPr>
            </w:pPr>
          </w:p>
        </w:tc>
      </w:tr>
      <w:tr w:rsidR="003E40A9" w:rsidRPr="007C4B1F" w:rsidTr="009A3ED0">
        <w:trPr>
          <w:trHeight w:val="318"/>
        </w:trPr>
        <w:tc>
          <w:tcPr>
            <w:tcW w:w="988" w:type="dxa"/>
            <w:shd w:val="clear" w:color="auto" w:fill="auto"/>
            <w:vAlign w:val="center"/>
          </w:tcPr>
          <w:p w:rsidR="003E40A9" w:rsidRDefault="001B5277" w:rsidP="001B5277">
            <w:pPr>
              <w:ind w:left="880" w:hanging="880"/>
              <w:jc w:val="center"/>
              <w:rPr>
                <w:rFonts w:ascii="Arial" w:hAnsi="Arial" w:cs="Arial"/>
              </w:rPr>
            </w:pPr>
            <w:r>
              <w:rPr>
                <w:rFonts w:ascii="Arial" w:hAnsi="Arial" w:cs="Arial"/>
              </w:rPr>
              <w:t>34</w:t>
            </w:r>
          </w:p>
          <w:p w:rsidR="001B5277" w:rsidRPr="001B5277" w:rsidRDefault="001B5277" w:rsidP="001B5277">
            <w:pPr>
              <w:ind w:left="880" w:hanging="880"/>
              <w:jc w:val="center"/>
              <w:rPr>
                <w:rFonts w:ascii="Arial" w:hAnsi="Arial" w:cs="Arial"/>
              </w:rPr>
            </w:pPr>
            <w:r>
              <w:rPr>
                <w:rFonts w:ascii="Arial" w:hAnsi="Arial" w:cs="Arial"/>
              </w:rPr>
              <w:t>2.5a</w:t>
            </w:r>
          </w:p>
        </w:tc>
        <w:tc>
          <w:tcPr>
            <w:tcW w:w="13041" w:type="dxa"/>
            <w:shd w:val="clear" w:color="auto" w:fill="auto"/>
          </w:tcPr>
          <w:p w:rsidR="003E40A9" w:rsidRPr="001B5277" w:rsidRDefault="001B5277" w:rsidP="003E40A9">
            <w:pPr>
              <w:ind w:left="33"/>
              <w:rPr>
                <w:rFonts w:ascii="Arial" w:hAnsi="Arial" w:cs="Arial"/>
                <w:b/>
              </w:rPr>
            </w:pPr>
            <w:r w:rsidRPr="001B5277">
              <w:rPr>
                <w:rFonts w:ascii="Arial" w:hAnsi="Arial" w:cs="Arial"/>
              </w:rPr>
              <w:t>Within group structures, boards should ensure they have full understanding of where liabilities exist between all entities (both registered and unregistered). This should include understanding of how a failure in one part of the group may affect other members of the group. Registered providers in a group should ensure they have an appropriate methodology to model and communicate the impacts of risks crystallising in one entity on other entities within the group, in particular where there would be recourse to social housing assets.</w:t>
            </w:r>
          </w:p>
        </w:tc>
      </w:tr>
      <w:tr w:rsidR="003E40A9" w:rsidRPr="007C4B1F" w:rsidTr="009A3ED0">
        <w:trPr>
          <w:trHeight w:val="318"/>
        </w:trPr>
        <w:tc>
          <w:tcPr>
            <w:tcW w:w="988" w:type="dxa"/>
            <w:shd w:val="clear" w:color="auto" w:fill="auto"/>
            <w:vAlign w:val="center"/>
          </w:tcPr>
          <w:p w:rsidR="001B5277" w:rsidRDefault="001B5277" w:rsidP="001B5277">
            <w:pPr>
              <w:ind w:left="880" w:hanging="880"/>
              <w:jc w:val="center"/>
              <w:rPr>
                <w:rFonts w:ascii="Arial" w:hAnsi="Arial" w:cs="Arial"/>
              </w:rPr>
            </w:pPr>
            <w:r>
              <w:rPr>
                <w:rFonts w:ascii="Arial" w:hAnsi="Arial" w:cs="Arial"/>
              </w:rPr>
              <w:t>35</w:t>
            </w:r>
          </w:p>
          <w:p w:rsidR="003E40A9" w:rsidRPr="001B5277" w:rsidRDefault="001B5277" w:rsidP="001B5277">
            <w:pPr>
              <w:ind w:left="880" w:hanging="880"/>
              <w:jc w:val="center"/>
              <w:rPr>
                <w:rFonts w:ascii="Arial" w:hAnsi="Arial" w:cs="Arial"/>
              </w:rPr>
            </w:pPr>
            <w:r>
              <w:rPr>
                <w:rFonts w:ascii="Arial" w:hAnsi="Arial" w:cs="Arial"/>
              </w:rPr>
              <w:t>2.5b</w:t>
            </w:r>
          </w:p>
        </w:tc>
        <w:tc>
          <w:tcPr>
            <w:tcW w:w="13041" w:type="dxa"/>
            <w:shd w:val="clear" w:color="auto" w:fill="auto"/>
          </w:tcPr>
          <w:p w:rsidR="003E40A9" w:rsidRPr="001B5277" w:rsidRDefault="001B5277" w:rsidP="003E40A9">
            <w:pPr>
              <w:ind w:left="33"/>
              <w:rPr>
                <w:rFonts w:ascii="Arial" w:hAnsi="Arial" w:cs="Arial"/>
                <w:b/>
              </w:rPr>
            </w:pPr>
            <w:r w:rsidRPr="001B5277">
              <w:rPr>
                <w:rFonts w:ascii="Arial" w:hAnsi="Arial" w:cs="Arial"/>
              </w:rPr>
              <w:t>The regulator expects registered providers, as part of their risk management approach, to stress test their plans against different scenarios across the whole group. The scenarios used will vary according to the size, type and structure of the organisation. Registered providers should go beyond simple sensitivity testing and include multi-variate analysis which tests against potential serious economic and business risks. Registered providers should explore those conditions which could lead to failure of the business, even if planned mitigations and controls are successfully implemented. They should assure themselves that the scenarios are consistent with what they consider to be acceptable levels of risk and their obligations. Stress testing should employ scenarios that are designed to assess resilience.</w:t>
            </w:r>
          </w:p>
        </w:tc>
      </w:tr>
      <w:tr w:rsidR="001B5277" w:rsidRPr="007C4B1F" w:rsidTr="009A3ED0">
        <w:trPr>
          <w:trHeight w:val="318"/>
        </w:trPr>
        <w:tc>
          <w:tcPr>
            <w:tcW w:w="988" w:type="dxa"/>
            <w:shd w:val="clear" w:color="auto" w:fill="auto"/>
            <w:vAlign w:val="center"/>
          </w:tcPr>
          <w:p w:rsidR="001B5277" w:rsidRDefault="001B5277" w:rsidP="001B5277">
            <w:pPr>
              <w:ind w:left="880" w:hanging="880"/>
              <w:jc w:val="center"/>
              <w:rPr>
                <w:rFonts w:ascii="Arial" w:hAnsi="Arial" w:cs="Arial"/>
              </w:rPr>
            </w:pPr>
            <w:r>
              <w:rPr>
                <w:rFonts w:ascii="Arial" w:hAnsi="Arial" w:cs="Arial"/>
              </w:rPr>
              <w:t>36</w:t>
            </w:r>
          </w:p>
          <w:p w:rsidR="001B5277" w:rsidRPr="001B5277" w:rsidRDefault="001B5277" w:rsidP="001B5277">
            <w:pPr>
              <w:ind w:left="880" w:hanging="880"/>
              <w:jc w:val="center"/>
              <w:rPr>
                <w:rFonts w:ascii="Arial" w:hAnsi="Arial" w:cs="Arial"/>
              </w:rPr>
            </w:pPr>
            <w:r>
              <w:rPr>
                <w:rFonts w:ascii="Arial" w:hAnsi="Arial" w:cs="Arial"/>
              </w:rPr>
              <w:t>2.5b</w:t>
            </w:r>
          </w:p>
        </w:tc>
        <w:tc>
          <w:tcPr>
            <w:tcW w:w="13041" w:type="dxa"/>
            <w:shd w:val="clear" w:color="auto" w:fill="auto"/>
          </w:tcPr>
          <w:p w:rsidR="001B5277" w:rsidRPr="001B5277" w:rsidRDefault="001B5277" w:rsidP="003E40A9">
            <w:pPr>
              <w:ind w:left="33"/>
              <w:rPr>
                <w:rFonts w:ascii="Arial" w:hAnsi="Arial" w:cs="Arial"/>
                <w:b/>
              </w:rPr>
            </w:pPr>
            <w:r w:rsidRPr="001B5277">
              <w:rPr>
                <w:rFonts w:ascii="Arial" w:hAnsi="Arial" w:cs="Arial"/>
              </w:rPr>
              <w:t>In designing the stress testing, boards should consider both the long term, cyclical nature of economic factors that impact on the business as well as internal business risks.</w:t>
            </w:r>
          </w:p>
        </w:tc>
      </w:tr>
      <w:tr w:rsidR="001B5277" w:rsidRPr="007C4B1F" w:rsidTr="009A3ED0">
        <w:trPr>
          <w:trHeight w:val="318"/>
        </w:trPr>
        <w:tc>
          <w:tcPr>
            <w:tcW w:w="988" w:type="dxa"/>
            <w:shd w:val="clear" w:color="auto" w:fill="auto"/>
            <w:vAlign w:val="center"/>
          </w:tcPr>
          <w:p w:rsidR="001B5277" w:rsidRDefault="001B5277" w:rsidP="001B5277">
            <w:pPr>
              <w:ind w:left="880" w:hanging="880"/>
              <w:jc w:val="center"/>
              <w:rPr>
                <w:rFonts w:ascii="Arial" w:hAnsi="Arial" w:cs="Arial"/>
              </w:rPr>
            </w:pPr>
            <w:r>
              <w:rPr>
                <w:rFonts w:ascii="Arial" w:hAnsi="Arial" w:cs="Arial"/>
              </w:rPr>
              <w:t>37</w:t>
            </w:r>
          </w:p>
          <w:p w:rsidR="001B5277" w:rsidRPr="001B5277" w:rsidRDefault="001B5277" w:rsidP="001B5277">
            <w:pPr>
              <w:ind w:left="880" w:hanging="880"/>
              <w:jc w:val="center"/>
              <w:rPr>
                <w:rFonts w:ascii="Arial" w:hAnsi="Arial" w:cs="Arial"/>
              </w:rPr>
            </w:pPr>
            <w:r>
              <w:rPr>
                <w:rFonts w:ascii="Arial" w:hAnsi="Arial" w:cs="Arial"/>
              </w:rPr>
              <w:t>2.5b</w:t>
            </w:r>
          </w:p>
        </w:tc>
        <w:tc>
          <w:tcPr>
            <w:tcW w:w="13041" w:type="dxa"/>
            <w:shd w:val="clear" w:color="auto" w:fill="auto"/>
          </w:tcPr>
          <w:p w:rsidR="001B5277" w:rsidRPr="001B5277" w:rsidRDefault="001B5277" w:rsidP="001B5277">
            <w:pPr>
              <w:autoSpaceDE w:val="0"/>
              <w:autoSpaceDN w:val="0"/>
              <w:adjustRightInd w:val="0"/>
              <w:rPr>
                <w:rFonts w:ascii="Arial" w:hAnsi="Arial" w:cs="Arial"/>
                <w:color w:val="000000"/>
                <w:lang w:eastAsia="en-GB" w:bidi="ar-SA"/>
              </w:rPr>
            </w:pPr>
            <w:r w:rsidRPr="001B5277">
              <w:rPr>
                <w:rFonts w:ascii="Arial" w:hAnsi="Arial" w:cs="Arial"/>
                <w:color w:val="000000"/>
                <w:lang w:eastAsia="en-GB" w:bidi="ar-SA"/>
              </w:rPr>
              <w:t xml:space="preserve">Two potential examples are offered by way of illustration: </w:t>
            </w:r>
          </w:p>
          <w:p w:rsidR="001B5277" w:rsidRPr="001B5277" w:rsidRDefault="001B5277" w:rsidP="001B5277">
            <w:pPr>
              <w:autoSpaceDE w:val="0"/>
              <w:autoSpaceDN w:val="0"/>
              <w:adjustRightInd w:val="0"/>
              <w:rPr>
                <w:rFonts w:ascii="Arial" w:hAnsi="Arial" w:cs="Arial"/>
                <w:color w:val="000000"/>
                <w:lang w:eastAsia="en-GB" w:bidi="ar-SA"/>
              </w:rPr>
            </w:pPr>
            <w:r w:rsidRPr="001B5277">
              <w:rPr>
                <w:rFonts w:ascii="Arial" w:hAnsi="Arial" w:cs="Arial"/>
                <w:color w:val="000000"/>
                <w:lang w:eastAsia="en-GB" w:bidi="ar-SA"/>
              </w:rPr>
              <w:t xml:space="preserve">a) The board of a developing registered provider with a shared ownership and outright sale programme that is raising external debt will need to think about how key variables in the business plan would move during a housing market slowdown or crash. This would include, for example: </w:t>
            </w:r>
          </w:p>
          <w:p w:rsidR="001B5277" w:rsidRPr="001B5277" w:rsidRDefault="001B5277" w:rsidP="00896CA9">
            <w:pPr>
              <w:pStyle w:val="ListParagraph"/>
              <w:numPr>
                <w:ilvl w:val="0"/>
                <w:numId w:val="12"/>
              </w:numPr>
              <w:autoSpaceDE w:val="0"/>
              <w:autoSpaceDN w:val="0"/>
              <w:adjustRightInd w:val="0"/>
              <w:spacing w:after="68"/>
              <w:rPr>
                <w:rFonts w:ascii="Arial" w:hAnsi="Arial" w:cs="Arial"/>
                <w:color w:val="000000"/>
                <w:lang w:eastAsia="en-GB" w:bidi="ar-SA"/>
              </w:rPr>
            </w:pPr>
            <w:r w:rsidRPr="001B5277">
              <w:rPr>
                <w:rFonts w:ascii="Arial" w:hAnsi="Arial" w:cs="Arial"/>
                <w:color w:val="000000"/>
                <w:lang w:eastAsia="en-GB" w:bidi="ar-SA"/>
              </w:rPr>
              <w:t xml:space="preserve">what is happening to sale prices and volumes </w:t>
            </w:r>
          </w:p>
          <w:p w:rsidR="001B5277" w:rsidRPr="001B5277" w:rsidRDefault="001B5277" w:rsidP="00896CA9">
            <w:pPr>
              <w:pStyle w:val="ListParagraph"/>
              <w:numPr>
                <w:ilvl w:val="0"/>
                <w:numId w:val="12"/>
              </w:numPr>
              <w:autoSpaceDE w:val="0"/>
              <w:autoSpaceDN w:val="0"/>
              <w:adjustRightInd w:val="0"/>
              <w:spacing w:after="68"/>
              <w:rPr>
                <w:rFonts w:ascii="Arial" w:hAnsi="Arial" w:cs="Arial"/>
                <w:color w:val="000000"/>
                <w:lang w:eastAsia="en-GB" w:bidi="ar-SA"/>
              </w:rPr>
            </w:pPr>
            <w:r w:rsidRPr="001B5277">
              <w:rPr>
                <w:rFonts w:ascii="Arial" w:hAnsi="Arial" w:cs="Arial"/>
                <w:color w:val="000000"/>
                <w:lang w:eastAsia="en-GB" w:bidi="ar-SA"/>
              </w:rPr>
              <w:t xml:space="preserve">how lenders would be operating in that market </w:t>
            </w:r>
          </w:p>
          <w:p w:rsidR="001B5277" w:rsidRPr="001B5277" w:rsidRDefault="001B5277" w:rsidP="00896CA9">
            <w:pPr>
              <w:pStyle w:val="ListParagraph"/>
              <w:numPr>
                <w:ilvl w:val="0"/>
                <w:numId w:val="12"/>
              </w:numPr>
              <w:autoSpaceDE w:val="0"/>
              <w:autoSpaceDN w:val="0"/>
              <w:adjustRightInd w:val="0"/>
              <w:spacing w:after="68"/>
              <w:rPr>
                <w:rFonts w:ascii="Arial" w:hAnsi="Arial" w:cs="Arial"/>
                <w:color w:val="000000"/>
                <w:lang w:eastAsia="en-GB" w:bidi="ar-SA"/>
              </w:rPr>
            </w:pPr>
            <w:r w:rsidRPr="001B5277">
              <w:rPr>
                <w:rFonts w:ascii="Arial" w:hAnsi="Arial" w:cs="Arial"/>
                <w:color w:val="000000"/>
                <w:lang w:eastAsia="en-GB" w:bidi="ar-SA"/>
              </w:rPr>
              <w:t xml:space="preserve">the potential for impairment </w:t>
            </w:r>
          </w:p>
          <w:p w:rsidR="001B5277" w:rsidRPr="001B5277" w:rsidRDefault="001B5277" w:rsidP="00896CA9">
            <w:pPr>
              <w:pStyle w:val="ListParagraph"/>
              <w:numPr>
                <w:ilvl w:val="0"/>
                <w:numId w:val="12"/>
              </w:numPr>
              <w:autoSpaceDE w:val="0"/>
              <w:autoSpaceDN w:val="0"/>
              <w:adjustRightInd w:val="0"/>
              <w:spacing w:after="68"/>
              <w:rPr>
                <w:rFonts w:ascii="Arial" w:hAnsi="Arial" w:cs="Arial"/>
                <w:color w:val="000000"/>
                <w:lang w:eastAsia="en-GB" w:bidi="ar-SA"/>
              </w:rPr>
            </w:pPr>
            <w:r w:rsidRPr="001B5277">
              <w:rPr>
                <w:rFonts w:ascii="Arial" w:hAnsi="Arial" w:cs="Arial"/>
                <w:color w:val="000000"/>
                <w:lang w:eastAsia="en-GB" w:bidi="ar-SA"/>
              </w:rPr>
              <w:t xml:space="preserve">what might be happening to variable rate debt and the costs of working capital </w:t>
            </w:r>
          </w:p>
          <w:p w:rsidR="001B5277" w:rsidRPr="001B5277" w:rsidRDefault="001B5277" w:rsidP="00896CA9">
            <w:pPr>
              <w:pStyle w:val="ListParagraph"/>
              <w:numPr>
                <w:ilvl w:val="0"/>
                <w:numId w:val="12"/>
              </w:numPr>
              <w:autoSpaceDE w:val="0"/>
              <w:autoSpaceDN w:val="0"/>
              <w:adjustRightInd w:val="0"/>
              <w:rPr>
                <w:rFonts w:ascii="Arial" w:hAnsi="Arial" w:cs="Arial"/>
                <w:color w:val="000000"/>
                <w:lang w:eastAsia="en-GB" w:bidi="ar-SA"/>
              </w:rPr>
            </w:pPr>
            <w:r w:rsidRPr="001B5277">
              <w:rPr>
                <w:rFonts w:ascii="Arial" w:hAnsi="Arial" w:cs="Arial"/>
                <w:color w:val="000000"/>
                <w:lang w:eastAsia="en-GB" w:bidi="ar-SA"/>
              </w:rPr>
              <w:t xml:space="preserve">other costs of holding the asset such as increased security costs and the movements in nominal and real inflation rates </w:t>
            </w:r>
          </w:p>
          <w:p w:rsidR="001B5277" w:rsidRPr="001B5277" w:rsidRDefault="001B5277" w:rsidP="001B5277">
            <w:pPr>
              <w:autoSpaceDE w:val="0"/>
              <w:autoSpaceDN w:val="0"/>
              <w:adjustRightInd w:val="0"/>
              <w:rPr>
                <w:rFonts w:ascii="Arial" w:hAnsi="Arial" w:cs="Arial"/>
                <w:color w:val="000000"/>
                <w:lang w:eastAsia="en-GB" w:bidi="ar-SA"/>
              </w:rPr>
            </w:pPr>
          </w:p>
          <w:p w:rsidR="001B5277" w:rsidRPr="001B5277" w:rsidRDefault="001B5277" w:rsidP="001B5277">
            <w:pPr>
              <w:autoSpaceDE w:val="0"/>
              <w:autoSpaceDN w:val="0"/>
              <w:adjustRightInd w:val="0"/>
              <w:rPr>
                <w:rFonts w:ascii="Arial" w:hAnsi="Arial" w:cs="Arial"/>
                <w:color w:val="000000"/>
                <w:lang w:eastAsia="en-GB" w:bidi="ar-SA"/>
              </w:rPr>
            </w:pPr>
            <w:r w:rsidRPr="001B5277">
              <w:rPr>
                <w:rFonts w:ascii="Arial" w:hAnsi="Arial" w:cs="Arial"/>
                <w:color w:val="000000"/>
                <w:lang w:eastAsia="en-GB" w:bidi="ar-SA"/>
              </w:rPr>
              <w:t xml:space="preserve">b) The board of an organisation with significant supported housing business, but little new development, will need to think about for example: </w:t>
            </w:r>
          </w:p>
          <w:p w:rsidR="001B5277" w:rsidRPr="001B5277" w:rsidRDefault="001B5277" w:rsidP="00896CA9">
            <w:pPr>
              <w:pStyle w:val="ListParagraph"/>
              <w:numPr>
                <w:ilvl w:val="0"/>
                <w:numId w:val="12"/>
              </w:numPr>
              <w:autoSpaceDE w:val="0"/>
              <w:autoSpaceDN w:val="0"/>
              <w:adjustRightInd w:val="0"/>
              <w:spacing w:after="70"/>
              <w:rPr>
                <w:rFonts w:ascii="Arial" w:hAnsi="Arial" w:cs="Arial"/>
                <w:color w:val="000000"/>
                <w:lang w:eastAsia="en-GB" w:bidi="ar-SA"/>
              </w:rPr>
            </w:pPr>
            <w:r w:rsidRPr="001B5277">
              <w:rPr>
                <w:rFonts w:ascii="Arial" w:hAnsi="Arial" w:cs="Arial"/>
                <w:color w:val="000000"/>
                <w:lang w:eastAsia="en-GB" w:bidi="ar-SA"/>
              </w:rPr>
              <w:t xml:space="preserve">what might happen to corporate overheads and contract-specific costs if the registered provider lost key contracts </w:t>
            </w:r>
          </w:p>
          <w:p w:rsidR="001B5277" w:rsidRPr="001B5277" w:rsidRDefault="001B5277" w:rsidP="00896CA9">
            <w:pPr>
              <w:pStyle w:val="ListParagraph"/>
              <w:numPr>
                <w:ilvl w:val="0"/>
                <w:numId w:val="12"/>
              </w:numPr>
              <w:autoSpaceDE w:val="0"/>
              <w:autoSpaceDN w:val="0"/>
              <w:adjustRightInd w:val="0"/>
              <w:rPr>
                <w:rFonts w:ascii="Arial" w:hAnsi="Arial" w:cs="Arial"/>
                <w:color w:val="000000"/>
                <w:lang w:eastAsia="en-GB" w:bidi="ar-SA"/>
              </w:rPr>
            </w:pPr>
            <w:r w:rsidRPr="001B5277">
              <w:rPr>
                <w:rFonts w:ascii="Arial" w:hAnsi="Arial" w:cs="Arial"/>
                <w:color w:val="000000"/>
                <w:lang w:eastAsia="en-GB" w:bidi="ar-SA"/>
              </w:rPr>
              <w:t xml:space="preserve">unsustainable price inflation or wage growth that removed margin from the business </w:t>
            </w:r>
          </w:p>
          <w:p w:rsidR="001B5277" w:rsidRPr="001B5277" w:rsidRDefault="001B5277" w:rsidP="003E40A9">
            <w:pPr>
              <w:ind w:left="33"/>
              <w:rPr>
                <w:rFonts w:ascii="Arial" w:hAnsi="Arial" w:cs="Arial"/>
                <w:b/>
              </w:rPr>
            </w:pPr>
          </w:p>
        </w:tc>
      </w:tr>
      <w:tr w:rsidR="001B5277" w:rsidRPr="007C4B1F" w:rsidTr="009A3ED0">
        <w:trPr>
          <w:trHeight w:val="318"/>
        </w:trPr>
        <w:tc>
          <w:tcPr>
            <w:tcW w:w="988" w:type="dxa"/>
            <w:shd w:val="clear" w:color="auto" w:fill="auto"/>
            <w:vAlign w:val="center"/>
          </w:tcPr>
          <w:p w:rsidR="001B5277" w:rsidRDefault="001B5277" w:rsidP="001B5277">
            <w:pPr>
              <w:ind w:left="880" w:hanging="880"/>
              <w:jc w:val="center"/>
              <w:rPr>
                <w:rFonts w:ascii="Arial" w:hAnsi="Arial" w:cs="Arial"/>
              </w:rPr>
            </w:pPr>
            <w:r>
              <w:rPr>
                <w:rFonts w:ascii="Arial" w:hAnsi="Arial" w:cs="Arial"/>
              </w:rPr>
              <w:t>38</w:t>
            </w:r>
          </w:p>
          <w:p w:rsidR="001B5277" w:rsidRPr="001B5277" w:rsidRDefault="001B5277" w:rsidP="001B5277">
            <w:pPr>
              <w:ind w:left="880" w:hanging="880"/>
              <w:jc w:val="center"/>
              <w:rPr>
                <w:rFonts w:ascii="Arial" w:hAnsi="Arial" w:cs="Arial"/>
              </w:rPr>
            </w:pPr>
            <w:r>
              <w:rPr>
                <w:rFonts w:ascii="Arial" w:hAnsi="Arial" w:cs="Arial"/>
              </w:rPr>
              <w:t>2.5b</w:t>
            </w:r>
          </w:p>
        </w:tc>
        <w:tc>
          <w:tcPr>
            <w:tcW w:w="13041" w:type="dxa"/>
            <w:shd w:val="clear" w:color="auto" w:fill="auto"/>
          </w:tcPr>
          <w:p w:rsidR="001B5277" w:rsidRPr="001B5277" w:rsidRDefault="001B5277" w:rsidP="003E40A9">
            <w:pPr>
              <w:ind w:left="33"/>
              <w:rPr>
                <w:rFonts w:ascii="Arial" w:hAnsi="Arial" w:cs="Arial"/>
                <w:b/>
              </w:rPr>
            </w:pPr>
            <w:r w:rsidRPr="001B5277">
              <w:rPr>
                <w:rFonts w:ascii="Arial" w:hAnsi="Arial" w:cs="Arial"/>
              </w:rPr>
              <w:t>Managing and addressing risk should involve developing plausible scenarios that test the business plan against adverse movements in the operating environment. Doing so will help underpin boards’ understanding of where the risks lie and inform their consideration and planning for remedial action if the risks crystallise either singly or in combinations. Registered providers should consider the implications of this stress testing for its existing business including how the business may need to respond, whether business streams may need to be altered or stopped, whether it has sufficient headroom, what controls they have in place and how those controls are implemented.</w:t>
            </w:r>
          </w:p>
        </w:tc>
      </w:tr>
      <w:tr w:rsidR="001B5277" w:rsidRPr="007C4B1F" w:rsidTr="009A3ED0">
        <w:trPr>
          <w:trHeight w:val="318"/>
        </w:trPr>
        <w:tc>
          <w:tcPr>
            <w:tcW w:w="988" w:type="dxa"/>
            <w:shd w:val="clear" w:color="auto" w:fill="auto"/>
            <w:vAlign w:val="center"/>
          </w:tcPr>
          <w:p w:rsidR="001B5277" w:rsidRDefault="001B5277" w:rsidP="001B5277">
            <w:pPr>
              <w:ind w:left="880" w:hanging="880"/>
              <w:jc w:val="center"/>
              <w:rPr>
                <w:rFonts w:ascii="Arial" w:hAnsi="Arial" w:cs="Arial"/>
              </w:rPr>
            </w:pPr>
            <w:r>
              <w:rPr>
                <w:rFonts w:ascii="Arial" w:hAnsi="Arial" w:cs="Arial"/>
              </w:rPr>
              <w:t>39</w:t>
            </w:r>
          </w:p>
          <w:p w:rsidR="001B5277" w:rsidRPr="001B5277" w:rsidRDefault="001B5277" w:rsidP="001B5277">
            <w:pPr>
              <w:ind w:left="880" w:hanging="880"/>
              <w:jc w:val="center"/>
              <w:rPr>
                <w:rFonts w:ascii="Arial" w:hAnsi="Arial" w:cs="Arial"/>
              </w:rPr>
            </w:pPr>
            <w:r>
              <w:rPr>
                <w:rFonts w:ascii="Arial" w:hAnsi="Arial" w:cs="Arial"/>
              </w:rPr>
              <w:t>2.5b</w:t>
            </w:r>
          </w:p>
        </w:tc>
        <w:tc>
          <w:tcPr>
            <w:tcW w:w="13041" w:type="dxa"/>
            <w:shd w:val="clear" w:color="auto" w:fill="auto"/>
          </w:tcPr>
          <w:p w:rsidR="001B5277" w:rsidRPr="001B5277" w:rsidRDefault="001B5277" w:rsidP="003E40A9">
            <w:pPr>
              <w:ind w:left="33"/>
              <w:rPr>
                <w:rFonts w:ascii="Arial" w:hAnsi="Arial" w:cs="Arial"/>
                <w:b/>
              </w:rPr>
            </w:pPr>
            <w:r w:rsidRPr="001B5277">
              <w:rPr>
                <w:rFonts w:ascii="Arial" w:hAnsi="Arial" w:cs="Arial"/>
              </w:rPr>
              <w:t>As long-term businesses, registered providers need to ensure that they can withstand the long-term cycles in the economy and that short term decisions do not constrain their ability to cope with risk. This does not prevent registered providers from taking on measured risk to deliver their objectives. It means that when taking on risks, boards should fully understand the impact on their business in the round, as well as on their social housing assets. Boards should have appropriate mitigations and controls in place as well as a strategy to protect those assets during the long term.</w:t>
            </w:r>
          </w:p>
        </w:tc>
      </w:tr>
      <w:tr w:rsidR="003E40A9" w:rsidRPr="007C4B1F" w:rsidTr="00AC1620">
        <w:trPr>
          <w:trHeight w:val="567"/>
        </w:trPr>
        <w:tc>
          <w:tcPr>
            <w:tcW w:w="14029" w:type="dxa"/>
            <w:gridSpan w:val="2"/>
            <w:shd w:val="clear" w:color="auto" w:fill="165788"/>
            <w:vAlign w:val="center"/>
          </w:tcPr>
          <w:p w:rsidR="003E40A9" w:rsidRPr="00AC1620" w:rsidRDefault="003E40A9" w:rsidP="003E40A9">
            <w:pPr>
              <w:autoSpaceDE w:val="0"/>
              <w:autoSpaceDN w:val="0"/>
              <w:adjustRightInd w:val="0"/>
              <w:rPr>
                <w:rFonts w:ascii="Arial" w:hAnsi="Arial" w:cs="Arial"/>
                <w:b/>
                <w:color w:val="FFFFFF" w:themeColor="background1"/>
              </w:rPr>
            </w:pPr>
            <w:r w:rsidRPr="00AC1620">
              <w:rPr>
                <w:rFonts w:ascii="Arial" w:hAnsi="Arial" w:cs="Arial"/>
                <w:b/>
                <w:color w:val="FFFFFF" w:themeColor="background1"/>
              </w:rPr>
              <w:t>Bdht Compliance Position</w:t>
            </w:r>
            <w:r w:rsidR="00C05340" w:rsidRPr="00AC1620">
              <w:rPr>
                <w:rFonts w:ascii="Arial" w:hAnsi="Arial" w:cs="Arial"/>
                <w:b/>
                <w:color w:val="FFFFFF" w:themeColor="background1"/>
              </w:rPr>
              <w:t xml:space="preserve"> - Compliant</w:t>
            </w:r>
          </w:p>
        </w:tc>
      </w:tr>
      <w:tr w:rsidR="003E40A9" w:rsidRPr="007C4B1F" w:rsidTr="009A3ED0">
        <w:trPr>
          <w:trHeight w:val="318"/>
        </w:trPr>
        <w:tc>
          <w:tcPr>
            <w:tcW w:w="14029" w:type="dxa"/>
            <w:gridSpan w:val="2"/>
            <w:shd w:val="clear" w:color="auto" w:fill="auto"/>
          </w:tcPr>
          <w:p w:rsidR="00023DB7" w:rsidRPr="00AC1620" w:rsidRDefault="00C05340" w:rsidP="00A3023D">
            <w:pPr>
              <w:ind w:left="33"/>
              <w:rPr>
                <w:rFonts w:ascii="Arial" w:hAnsi="Arial" w:cs="Arial"/>
                <w:b/>
                <w:color w:val="165788"/>
              </w:rPr>
            </w:pPr>
            <w:r w:rsidRPr="00AC1620">
              <w:rPr>
                <w:rFonts w:ascii="Arial" w:hAnsi="Arial" w:cs="Arial"/>
                <w:b/>
                <w:color w:val="165788"/>
              </w:rPr>
              <w:t xml:space="preserve">2.5a </w:t>
            </w:r>
            <w:r w:rsidR="00023DB7" w:rsidRPr="00AC1620">
              <w:rPr>
                <w:rFonts w:ascii="Arial" w:hAnsi="Arial" w:cs="Arial"/>
                <w:b/>
                <w:color w:val="165788"/>
              </w:rPr>
              <w:t>Asset &amp; Liability Registers</w:t>
            </w:r>
          </w:p>
          <w:p w:rsidR="00023DB7" w:rsidRPr="00AC1620" w:rsidRDefault="00023DB7" w:rsidP="00A3023D">
            <w:pPr>
              <w:ind w:left="33"/>
              <w:rPr>
                <w:rFonts w:ascii="Arial" w:hAnsi="Arial" w:cs="Arial"/>
                <w:color w:val="165788"/>
              </w:rPr>
            </w:pPr>
          </w:p>
          <w:p w:rsidR="004D6F3F" w:rsidRPr="00AC1620" w:rsidRDefault="00023DB7" w:rsidP="00A3023D">
            <w:pPr>
              <w:ind w:left="33"/>
              <w:rPr>
                <w:rFonts w:ascii="Arial" w:hAnsi="Arial" w:cs="Arial"/>
                <w:color w:val="165788"/>
              </w:rPr>
            </w:pPr>
            <w:r w:rsidRPr="00AC1620">
              <w:rPr>
                <w:rFonts w:ascii="Arial" w:hAnsi="Arial" w:cs="Arial"/>
                <w:color w:val="165788"/>
              </w:rPr>
              <w:t xml:space="preserve">Bdht </w:t>
            </w:r>
            <w:r w:rsidR="004D6F3F" w:rsidRPr="00AC1620">
              <w:rPr>
                <w:rFonts w:ascii="Arial" w:hAnsi="Arial" w:cs="Arial"/>
                <w:color w:val="165788"/>
              </w:rPr>
              <w:t>has adopted a multi-register approach to managing and maintaining information relating to assets and liabilities. The five Registers of assets and liabilities are:</w:t>
            </w:r>
          </w:p>
          <w:p w:rsidR="004D6F3F" w:rsidRPr="00AC1620" w:rsidRDefault="004D6F3F" w:rsidP="00A3023D">
            <w:pPr>
              <w:ind w:left="33"/>
              <w:rPr>
                <w:rFonts w:ascii="Arial" w:hAnsi="Arial" w:cs="Arial"/>
                <w:color w:val="165788"/>
              </w:rPr>
            </w:pPr>
          </w:p>
          <w:p w:rsidR="004D6F3F" w:rsidRPr="00AC1620" w:rsidRDefault="004D6F3F" w:rsidP="00896CA9">
            <w:pPr>
              <w:pStyle w:val="ListParagraph"/>
              <w:numPr>
                <w:ilvl w:val="0"/>
                <w:numId w:val="29"/>
              </w:numPr>
              <w:rPr>
                <w:rFonts w:ascii="Arial" w:hAnsi="Arial" w:cs="Arial"/>
                <w:color w:val="165788"/>
              </w:rPr>
            </w:pPr>
            <w:r w:rsidRPr="00AC1620">
              <w:rPr>
                <w:rFonts w:ascii="Arial" w:hAnsi="Arial" w:cs="Arial"/>
                <w:color w:val="165788"/>
              </w:rPr>
              <w:t>The Register of Property Assets</w:t>
            </w:r>
          </w:p>
          <w:p w:rsidR="004D6F3F" w:rsidRPr="00AC1620" w:rsidRDefault="004D6F3F" w:rsidP="00896CA9">
            <w:pPr>
              <w:pStyle w:val="ListParagraph"/>
              <w:numPr>
                <w:ilvl w:val="0"/>
                <w:numId w:val="29"/>
              </w:numPr>
              <w:rPr>
                <w:rFonts w:ascii="Arial" w:hAnsi="Arial" w:cs="Arial"/>
                <w:color w:val="165788"/>
              </w:rPr>
            </w:pPr>
            <w:r w:rsidRPr="00AC1620">
              <w:rPr>
                <w:rFonts w:ascii="Arial" w:hAnsi="Arial" w:cs="Arial"/>
                <w:color w:val="165788"/>
              </w:rPr>
              <w:t>The Register of Development Contracts</w:t>
            </w:r>
          </w:p>
          <w:p w:rsidR="004D6F3F" w:rsidRPr="00AC1620" w:rsidRDefault="004D6F3F" w:rsidP="00896CA9">
            <w:pPr>
              <w:pStyle w:val="ListParagraph"/>
              <w:numPr>
                <w:ilvl w:val="0"/>
                <w:numId w:val="29"/>
              </w:numPr>
              <w:rPr>
                <w:rFonts w:ascii="Arial" w:hAnsi="Arial" w:cs="Arial"/>
                <w:color w:val="165788"/>
              </w:rPr>
            </w:pPr>
            <w:r w:rsidRPr="00AC1620">
              <w:rPr>
                <w:rFonts w:ascii="Arial" w:hAnsi="Arial" w:cs="Arial"/>
                <w:color w:val="165788"/>
              </w:rPr>
              <w:t>The Register of Major Commercial Contracts</w:t>
            </w:r>
          </w:p>
          <w:p w:rsidR="004D6F3F" w:rsidRPr="00AC1620" w:rsidRDefault="004D6F3F" w:rsidP="00896CA9">
            <w:pPr>
              <w:pStyle w:val="ListParagraph"/>
              <w:numPr>
                <w:ilvl w:val="0"/>
                <w:numId w:val="29"/>
              </w:numPr>
              <w:rPr>
                <w:rFonts w:ascii="Arial" w:hAnsi="Arial" w:cs="Arial"/>
                <w:color w:val="165788"/>
              </w:rPr>
            </w:pPr>
            <w:r w:rsidRPr="00AC1620">
              <w:rPr>
                <w:rFonts w:ascii="Arial" w:hAnsi="Arial" w:cs="Arial"/>
                <w:color w:val="165788"/>
              </w:rPr>
              <w:t>The Register of Employment Contracts</w:t>
            </w:r>
          </w:p>
          <w:p w:rsidR="00023DB7" w:rsidRPr="00AC1620" w:rsidRDefault="004D6F3F" w:rsidP="00896CA9">
            <w:pPr>
              <w:pStyle w:val="ListParagraph"/>
              <w:numPr>
                <w:ilvl w:val="0"/>
                <w:numId w:val="29"/>
              </w:numPr>
              <w:rPr>
                <w:rFonts w:ascii="Arial" w:hAnsi="Arial" w:cs="Arial"/>
                <w:color w:val="165788"/>
              </w:rPr>
            </w:pPr>
            <w:r w:rsidRPr="00AC1620">
              <w:rPr>
                <w:rFonts w:ascii="Arial" w:hAnsi="Arial" w:cs="Arial"/>
                <w:color w:val="165788"/>
              </w:rPr>
              <w:t>The Register of Loans and Other major Liabilities.</w:t>
            </w:r>
          </w:p>
          <w:p w:rsidR="004D6F3F" w:rsidRPr="00AC1620" w:rsidRDefault="004D6F3F" w:rsidP="004D6F3F">
            <w:pPr>
              <w:rPr>
                <w:rFonts w:ascii="Arial" w:hAnsi="Arial" w:cs="Arial"/>
                <w:color w:val="165788"/>
              </w:rPr>
            </w:pPr>
          </w:p>
          <w:p w:rsidR="004D6F3F" w:rsidRPr="00AC1620" w:rsidRDefault="004D6F3F" w:rsidP="004D6F3F">
            <w:pPr>
              <w:rPr>
                <w:rFonts w:ascii="Arial" w:hAnsi="Arial" w:cs="Arial"/>
                <w:color w:val="165788"/>
              </w:rPr>
            </w:pPr>
            <w:r w:rsidRPr="00AC1620">
              <w:rPr>
                <w:rFonts w:ascii="Arial" w:hAnsi="Arial" w:cs="Arial"/>
                <w:color w:val="165788"/>
              </w:rPr>
              <w:t xml:space="preserve">The Compliance Committee commissioned an independent review of these arrangements by Beever &amp; Struthers during January 2016 with recommendations for development of the approach agreed by the Compliance Committee in February 2016. Beever &amp; Struthers completed a further assurance review of these arrangements in April 2016. Beever &amp; Struthers have provided assurance to the Compliance Committee &amp; Board that bdht is compliant with the Regulatory Standard and Code of Practice in regard to </w:t>
            </w:r>
            <w:r w:rsidR="00896CA9" w:rsidRPr="00AC1620">
              <w:rPr>
                <w:rFonts w:ascii="Arial" w:hAnsi="Arial" w:cs="Arial"/>
                <w:color w:val="165788"/>
              </w:rPr>
              <w:t>this section.</w:t>
            </w:r>
            <w:r w:rsidRPr="00AC1620">
              <w:rPr>
                <w:rFonts w:ascii="Arial" w:hAnsi="Arial" w:cs="Arial"/>
                <w:color w:val="165788"/>
              </w:rPr>
              <w:t xml:space="preserve"> </w:t>
            </w:r>
          </w:p>
          <w:p w:rsidR="00A3023D" w:rsidRDefault="00A3023D" w:rsidP="00A3023D">
            <w:pPr>
              <w:ind w:left="33"/>
              <w:rPr>
                <w:rFonts w:ascii="Arial" w:hAnsi="Arial" w:cs="Arial"/>
                <w:color w:val="165788"/>
              </w:rPr>
            </w:pPr>
          </w:p>
          <w:p w:rsidR="00AC1620" w:rsidRPr="00AC1620" w:rsidRDefault="00AC1620" w:rsidP="00A3023D">
            <w:pPr>
              <w:ind w:left="33"/>
              <w:rPr>
                <w:rFonts w:ascii="Arial" w:hAnsi="Arial" w:cs="Arial"/>
                <w:color w:val="165788"/>
              </w:rPr>
            </w:pPr>
          </w:p>
          <w:p w:rsidR="00023DB7" w:rsidRPr="00AC1620" w:rsidRDefault="00A3023D" w:rsidP="00A3023D">
            <w:pPr>
              <w:ind w:left="33"/>
              <w:rPr>
                <w:rFonts w:ascii="Arial" w:hAnsi="Arial" w:cs="Arial"/>
                <w:b/>
                <w:color w:val="165788"/>
              </w:rPr>
            </w:pPr>
            <w:r w:rsidRPr="00AC1620">
              <w:rPr>
                <w:rFonts w:ascii="Arial" w:hAnsi="Arial" w:cs="Arial"/>
                <w:b/>
                <w:color w:val="165788"/>
              </w:rPr>
              <w:t xml:space="preserve">2.5b </w:t>
            </w:r>
            <w:r w:rsidR="00023DB7" w:rsidRPr="00AC1620">
              <w:rPr>
                <w:rFonts w:ascii="Arial" w:hAnsi="Arial" w:cs="Arial"/>
                <w:b/>
                <w:color w:val="165788"/>
              </w:rPr>
              <w:t>Stress Testing</w:t>
            </w:r>
          </w:p>
          <w:p w:rsidR="00023DB7" w:rsidRPr="00AC1620" w:rsidRDefault="00023DB7" w:rsidP="00A3023D">
            <w:pPr>
              <w:ind w:left="33"/>
              <w:rPr>
                <w:rFonts w:ascii="Arial" w:hAnsi="Arial" w:cs="Arial"/>
                <w:color w:val="165788"/>
              </w:rPr>
            </w:pPr>
          </w:p>
          <w:p w:rsidR="00A3023D" w:rsidRPr="00AC1620" w:rsidRDefault="00990446" w:rsidP="00A3023D">
            <w:pPr>
              <w:ind w:left="33"/>
              <w:rPr>
                <w:rFonts w:ascii="Arial" w:hAnsi="Arial" w:cs="Arial"/>
                <w:color w:val="165788"/>
              </w:rPr>
            </w:pPr>
            <w:r w:rsidRPr="00AC1620">
              <w:rPr>
                <w:rFonts w:ascii="Arial" w:hAnsi="Arial" w:cs="Arial"/>
                <w:color w:val="165788"/>
              </w:rPr>
              <w:t>T</w:t>
            </w:r>
            <w:r w:rsidR="006F5C3E" w:rsidRPr="00AC1620">
              <w:rPr>
                <w:rFonts w:ascii="Arial" w:hAnsi="Arial" w:cs="Arial"/>
                <w:color w:val="165788"/>
              </w:rPr>
              <w:t>he Board led Short-Life Working Group</w:t>
            </w:r>
            <w:r w:rsidRPr="00AC1620">
              <w:rPr>
                <w:rFonts w:ascii="Arial" w:hAnsi="Arial" w:cs="Arial"/>
                <w:color w:val="165788"/>
              </w:rPr>
              <w:t xml:space="preserve"> developed a stress testing framework, defining the “perfect storm” of events which could break the Business Plan and a mitigation strategy all of which were approved by Board on the 7</w:t>
            </w:r>
            <w:r w:rsidRPr="00AC1620">
              <w:rPr>
                <w:rFonts w:ascii="Arial" w:hAnsi="Arial" w:cs="Arial"/>
                <w:color w:val="165788"/>
                <w:vertAlign w:val="superscript"/>
              </w:rPr>
              <w:t>th</w:t>
            </w:r>
            <w:r w:rsidRPr="00AC1620">
              <w:rPr>
                <w:rFonts w:ascii="Arial" w:hAnsi="Arial" w:cs="Arial"/>
                <w:color w:val="165788"/>
              </w:rPr>
              <w:t xml:space="preserve"> March 2016</w:t>
            </w:r>
            <w:r w:rsidR="006F5C3E" w:rsidRPr="00AC1620">
              <w:rPr>
                <w:rFonts w:ascii="Arial" w:hAnsi="Arial" w:cs="Arial"/>
                <w:color w:val="165788"/>
              </w:rPr>
              <w:t>.</w:t>
            </w:r>
            <w:r w:rsidR="00BB2544" w:rsidRPr="00AC1620">
              <w:rPr>
                <w:rFonts w:ascii="Arial" w:hAnsi="Arial" w:cs="Arial"/>
                <w:color w:val="165788"/>
              </w:rPr>
              <w:t xml:space="preserve"> Stress testing </w:t>
            </w:r>
            <w:r w:rsidR="00130994">
              <w:rPr>
                <w:rFonts w:ascii="Arial" w:hAnsi="Arial" w:cs="Arial"/>
                <w:color w:val="165788"/>
              </w:rPr>
              <w:t>i</w:t>
            </w:r>
            <w:r w:rsidR="00BB2544" w:rsidRPr="00AC1620">
              <w:rPr>
                <w:rFonts w:ascii="Arial" w:hAnsi="Arial" w:cs="Arial"/>
                <w:color w:val="165788"/>
              </w:rPr>
              <w:t xml:space="preserve">s repeated </w:t>
            </w:r>
            <w:r w:rsidR="00130994">
              <w:rPr>
                <w:rFonts w:ascii="Arial" w:hAnsi="Arial" w:cs="Arial"/>
                <w:color w:val="165788"/>
              </w:rPr>
              <w:t>annually</w:t>
            </w:r>
            <w:r w:rsidR="00BB2544" w:rsidRPr="00AC1620">
              <w:rPr>
                <w:rFonts w:ascii="Arial" w:hAnsi="Arial" w:cs="Arial"/>
                <w:color w:val="165788"/>
              </w:rPr>
              <w:t xml:space="preserve"> as part of the development of the Business Plan</w:t>
            </w:r>
            <w:r w:rsidR="00130994">
              <w:rPr>
                <w:rFonts w:ascii="Arial" w:hAnsi="Arial" w:cs="Arial"/>
                <w:color w:val="165788"/>
              </w:rPr>
              <w:t xml:space="preserve"> with an updated “Perfect Storm” </w:t>
            </w:r>
            <w:r w:rsidR="00BB2544" w:rsidRPr="00AC1620">
              <w:rPr>
                <w:rFonts w:ascii="Arial" w:hAnsi="Arial" w:cs="Arial"/>
                <w:color w:val="165788"/>
              </w:rPr>
              <w:t>.</w:t>
            </w:r>
          </w:p>
          <w:p w:rsidR="00990446" w:rsidRPr="00AC1620" w:rsidRDefault="00990446" w:rsidP="00A3023D">
            <w:pPr>
              <w:ind w:left="33"/>
              <w:rPr>
                <w:rFonts w:ascii="Arial" w:hAnsi="Arial" w:cs="Arial"/>
                <w:color w:val="165788"/>
              </w:rPr>
            </w:pPr>
          </w:p>
          <w:p w:rsidR="00990446" w:rsidRDefault="00990446" w:rsidP="00A3023D">
            <w:pPr>
              <w:ind w:left="33"/>
              <w:rPr>
                <w:rFonts w:ascii="Arial" w:hAnsi="Arial" w:cs="Arial"/>
                <w:color w:val="165788"/>
              </w:rPr>
            </w:pPr>
            <w:r w:rsidRPr="00AC1620">
              <w:rPr>
                <w:rFonts w:ascii="Arial" w:hAnsi="Arial" w:cs="Arial"/>
                <w:color w:val="165788"/>
              </w:rPr>
              <w:t>The bdht approach to stress testing has been independently reviewed by Beever &amp; Struthers who following an assurance review in April 2016 confirmed compliance with Regulatory standards and Code of Practice.</w:t>
            </w:r>
          </w:p>
          <w:p w:rsidR="00AD1B28" w:rsidRPr="00AC1620" w:rsidRDefault="00AD1B28" w:rsidP="00A3023D">
            <w:pPr>
              <w:ind w:left="33"/>
              <w:rPr>
                <w:rFonts w:ascii="Arial" w:hAnsi="Arial" w:cs="Arial"/>
                <w:color w:val="165788"/>
              </w:rPr>
            </w:pPr>
          </w:p>
          <w:p w:rsidR="00023DB7" w:rsidRPr="00AC1620" w:rsidRDefault="00AD1B28" w:rsidP="00AD1B28">
            <w:pPr>
              <w:ind w:left="33"/>
              <w:rPr>
                <w:rFonts w:ascii="Arial" w:hAnsi="Arial" w:cs="Arial"/>
                <w:b/>
                <w:color w:val="165788"/>
              </w:rPr>
            </w:pPr>
            <w:r w:rsidRPr="00AC1620">
              <w:rPr>
                <w:rFonts w:ascii="Arial" w:hAnsi="Arial" w:cs="Arial"/>
                <w:b/>
                <w:color w:val="165788"/>
              </w:rPr>
              <w:t xml:space="preserve">2.5c </w:t>
            </w:r>
            <w:r w:rsidR="00023DB7" w:rsidRPr="00AC1620">
              <w:rPr>
                <w:rFonts w:ascii="Arial" w:hAnsi="Arial" w:cs="Arial"/>
                <w:b/>
                <w:color w:val="165788"/>
              </w:rPr>
              <w:t>New Liabilities</w:t>
            </w:r>
          </w:p>
          <w:p w:rsidR="00023DB7" w:rsidRPr="00AC1620" w:rsidRDefault="00023DB7" w:rsidP="00AD1B28">
            <w:pPr>
              <w:ind w:left="33"/>
              <w:rPr>
                <w:rFonts w:ascii="Arial" w:hAnsi="Arial" w:cs="Arial"/>
                <w:color w:val="165788"/>
              </w:rPr>
            </w:pPr>
          </w:p>
          <w:p w:rsidR="00AD1B28" w:rsidRPr="00AC1620" w:rsidRDefault="00AD1B28" w:rsidP="00F8523F">
            <w:pPr>
              <w:ind w:left="33"/>
              <w:rPr>
                <w:rFonts w:ascii="Arial" w:hAnsi="Arial" w:cs="Arial"/>
                <w:color w:val="165788"/>
              </w:rPr>
            </w:pPr>
            <w:r w:rsidRPr="00AC1620">
              <w:rPr>
                <w:rFonts w:ascii="Arial" w:hAnsi="Arial" w:cs="Arial"/>
                <w:color w:val="165788"/>
              </w:rPr>
              <w:t>As part of the approval process in taking on any new liabilities the Board require that all risks are identified and the impact/probability of that risk on the business is fully understood.</w:t>
            </w:r>
          </w:p>
        </w:tc>
      </w:tr>
      <w:tr w:rsidR="003E40A9" w:rsidRPr="007C4B1F" w:rsidTr="009A3ED0">
        <w:trPr>
          <w:trHeight w:val="318"/>
        </w:trPr>
        <w:tc>
          <w:tcPr>
            <w:tcW w:w="988" w:type="dxa"/>
            <w:shd w:val="clear" w:color="auto" w:fill="auto"/>
            <w:vAlign w:val="center"/>
          </w:tcPr>
          <w:p w:rsidR="003E40A9" w:rsidRPr="00414434" w:rsidRDefault="003E40A9" w:rsidP="004F7CF8">
            <w:pPr>
              <w:ind w:left="880" w:hanging="880"/>
              <w:jc w:val="center"/>
              <w:rPr>
                <w:rFonts w:ascii="Arial" w:hAnsi="Arial" w:cs="Arial"/>
                <w:b/>
              </w:rPr>
            </w:pPr>
            <w:r w:rsidRPr="00414434">
              <w:rPr>
                <w:rFonts w:ascii="Arial" w:hAnsi="Arial" w:cs="Arial"/>
                <w:b/>
              </w:rPr>
              <w:t>2.6</w:t>
            </w:r>
          </w:p>
        </w:tc>
        <w:tc>
          <w:tcPr>
            <w:tcW w:w="13041" w:type="dxa"/>
            <w:shd w:val="clear" w:color="auto" w:fill="auto"/>
          </w:tcPr>
          <w:p w:rsidR="003E40A9" w:rsidRPr="00414434" w:rsidRDefault="003E40A9" w:rsidP="003E40A9">
            <w:pPr>
              <w:ind w:left="33"/>
              <w:rPr>
                <w:rFonts w:ascii="Arial" w:hAnsi="Arial" w:cs="Arial"/>
                <w:b/>
              </w:rPr>
            </w:pPr>
            <w:r w:rsidRPr="00414434">
              <w:rPr>
                <w:rFonts w:ascii="Arial" w:hAnsi="Arial" w:cs="Arial"/>
                <w:b/>
              </w:rPr>
              <w:t>Registered providers shall ensure that any arrangements they enter into do not inappropriately advance the interests of third parties, or are arrangements which the regulator could reasonably assume were for such purposes.</w:t>
            </w:r>
          </w:p>
        </w:tc>
      </w:tr>
      <w:tr w:rsidR="004F7CF8" w:rsidRPr="007C4B1F" w:rsidTr="009A3ED0">
        <w:trPr>
          <w:trHeight w:val="397"/>
        </w:trPr>
        <w:tc>
          <w:tcPr>
            <w:tcW w:w="14029" w:type="dxa"/>
            <w:gridSpan w:val="2"/>
            <w:shd w:val="clear" w:color="auto" w:fill="auto"/>
          </w:tcPr>
          <w:p w:rsidR="004F7CF8" w:rsidRPr="00414434" w:rsidRDefault="004F7CF8" w:rsidP="00810979">
            <w:pPr>
              <w:ind w:left="33"/>
              <w:rPr>
                <w:rFonts w:ascii="Arial" w:hAnsi="Arial" w:cs="Arial"/>
                <w:b/>
              </w:rPr>
            </w:pPr>
            <w:r w:rsidRPr="000253EB">
              <w:rPr>
                <w:rFonts w:ascii="Arial" w:hAnsi="Arial" w:cs="Arial"/>
                <w:b/>
              </w:rPr>
              <w:t>Code of Practice</w:t>
            </w:r>
            <w:r>
              <w:rPr>
                <w:rFonts w:ascii="Arial" w:hAnsi="Arial" w:cs="Arial"/>
                <w:b/>
              </w:rPr>
              <w:t>:</w:t>
            </w:r>
            <w:r w:rsidRPr="000253EB">
              <w:rPr>
                <w:rFonts w:ascii="Arial" w:hAnsi="Arial" w:cs="Arial"/>
                <w:b/>
              </w:rPr>
              <w:t xml:space="preserve"> </w:t>
            </w:r>
            <w:r>
              <w:rPr>
                <w:b/>
                <w:bCs/>
                <w:sz w:val="28"/>
                <w:szCs w:val="28"/>
              </w:rPr>
              <w:t>Specific expectations applicable to all registered providers; paragraph 2.</w:t>
            </w:r>
            <w:r w:rsidR="00810979">
              <w:rPr>
                <w:b/>
                <w:bCs/>
                <w:sz w:val="28"/>
                <w:szCs w:val="28"/>
              </w:rPr>
              <w:t>6</w:t>
            </w:r>
          </w:p>
        </w:tc>
      </w:tr>
      <w:tr w:rsidR="004F7CF8" w:rsidRPr="007C4B1F" w:rsidTr="009A3ED0">
        <w:trPr>
          <w:trHeight w:val="318"/>
        </w:trPr>
        <w:tc>
          <w:tcPr>
            <w:tcW w:w="988" w:type="dxa"/>
            <w:shd w:val="clear" w:color="auto" w:fill="auto"/>
            <w:vAlign w:val="center"/>
          </w:tcPr>
          <w:p w:rsidR="004F7CF8" w:rsidRPr="004F7CF8" w:rsidRDefault="004F7CF8" w:rsidP="004F7CF8">
            <w:pPr>
              <w:ind w:left="880" w:hanging="880"/>
              <w:jc w:val="center"/>
              <w:rPr>
                <w:rFonts w:ascii="Arial" w:hAnsi="Arial" w:cs="Arial"/>
              </w:rPr>
            </w:pPr>
            <w:r>
              <w:rPr>
                <w:rFonts w:ascii="Arial" w:hAnsi="Arial" w:cs="Arial"/>
              </w:rPr>
              <w:t>40</w:t>
            </w:r>
          </w:p>
        </w:tc>
        <w:tc>
          <w:tcPr>
            <w:tcW w:w="13041" w:type="dxa"/>
            <w:shd w:val="clear" w:color="auto" w:fill="auto"/>
          </w:tcPr>
          <w:p w:rsidR="004F7CF8" w:rsidRPr="004F7CF8" w:rsidRDefault="004F7CF8" w:rsidP="004F7CF8">
            <w:pPr>
              <w:ind w:left="33"/>
              <w:rPr>
                <w:rFonts w:ascii="Arial" w:hAnsi="Arial" w:cs="Arial"/>
                <w:b/>
              </w:rPr>
            </w:pPr>
            <w:r w:rsidRPr="004F7CF8">
              <w:rPr>
                <w:rFonts w:ascii="Arial" w:hAnsi="Arial" w:cs="Arial"/>
              </w:rPr>
              <w:t>Registered providers should act in good faith appropriately advancing their own interests and those of their tenants. The focus here is on transactions which, for example, over-price services received so the contractor receives an inflated price or, where services are given without a suitable charge being levied.</w:t>
            </w:r>
          </w:p>
        </w:tc>
      </w:tr>
      <w:tr w:rsidR="004F7CF8" w:rsidRPr="007C4B1F" w:rsidTr="009A3ED0">
        <w:trPr>
          <w:trHeight w:val="318"/>
        </w:trPr>
        <w:tc>
          <w:tcPr>
            <w:tcW w:w="988" w:type="dxa"/>
            <w:shd w:val="clear" w:color="auto" w:fill="auto"/>
            <w:vAlign w:val="center"/>
          </w:tcPr>
          <w:p w:rsidR="004F7CF8" w:rsidRPr="004F7CF8" w:rsidRDefault="004F7CF8" w:rsidP="004F7CF8">
            <w:pPr>
              <w:ind w:left="880" w:hanging="880"/>
              <w:jc w:val="center"/>
              <w:rPr>
                <w:rFonts w:ascii="Arial" w:hAnsi="Arial" w:cs="Arial"/>
              </w:rPr>
            </w:pPr>
            <w:r>
              <w:rPr>
                <w:rFonts w:ascii="Arial" w:hAnsi="Arial" w:cs="Arial"/>
              </w:rPr>
              <w:t>41</w:t>
            </w:r>
          </w:p>
        </w:tc>
        <w:tc>
          <w:tcPr>
            <w:tcW w:w="13041" w:type="dxa"/>
            <w:shd w:val="clear" w:color="auto" w:fill="auto"/>
          </w:tcPr>
          <w:p w:rsidR="004F7CF8" w:rsidRPr="004F7CF8" w:rsidRDefault="004F7CF8" w:rsidP="004F7CF8">
            <w:pPr>
              <w:ind w:left="33"/>
              <w:rPr>
                <w:rFonts w:ascii="Arial" w:hAnsi="Arial" w:cs="Arial"/>
                <w:b/>
              </w:rPr>
            </w:pPr>
            <w:r w:rsidRPr="004F7CF8">
              <w:rPr>
                <w:rFonts w:ascii="Arial" w:hAnsi="Arial" w:cs="Arial"/>
              </w:rPr>
              <w:t>For the avoidance of doubt, the regulator does not intend that transactions undertaken to promote charitable or social objectives, nor appropriate dividend payments by profit making registered providers will be caught by this expectation.</w:t>
            </w:r>
          </w:p>
        </w:tc>
      </w:tr>
      <w:tr w:rsidR="004F7CF8" w:rsidRPr="007C4B1F" w:rsidTr="009A3ED0">
        <w:trPr>
          <w:trHeight w:val="318"/>
        </w:trPr>
        <w:tc>
          <w:tcPr>
            <w:tcW w:w="988" w:type="dxa"/>
            <w:shd w:val="clear" w:color="auto" w:fill="auto"/>
            <w:vAlign w:val="center"/>
          </w:tcPr>
          <w:p w:rsidR="004F7CF8" w:rsidRPr="004F7CF8" w:rsidRDefault="004F7CF8" w:rsidP="004F7CF8">
            <w:pPr>
              <w:ind w:left="880" w:hanging="880"/>
              <w:jc w:val="center"/>
              <w:rPr>
                <w:rFonts w:ascii="Arial" w:hAnsi="Arial" w:cs="Arial"/>
              </w:rPr>
            </w:pPr>
            <w:r>
              <w:rPr>
                <w:rFonts w:ascii="Arial" w:hAnsi="Arial" w:cs="Arial"/>
              </w:rPr>
              <w:t>42</w:t>
            </w:r>
          </w:p>
        </w:tc>
        <w:tc>
          <w:tcPr>
            <w:tcW w:w="13041" w:type="dxa"/>
            <w:shd w:val="clear" w:color="auto" w:fill="auto"/>
          </w:tcPr>
          <w:p w:rsidR="004F7CF8" w:rsidRPr="004F7CF8" w:rsidRDefault="004F7CF8" w:rsidP="004F7CF8">
            <w:pPr>
              <w:ind w:left="33"/>
              <w:rPr>
                <w:rFonts w:ascii="Arial" w:hAnsi="Arial" w:cs="Arial"/>
                <w:b/>
              </w:rPr>
            </w:pPr>
            <w:r w:rsidRPr="004F7CF8">
              <w:rPr>
                <w:rFonts w:ascii="Arial" w:hAnsi="Arial" w:cs="Arial"/>
              </w:rPr>
              <w:t>Where there are conflicts or perceived conflicts of interest, registered providers should clearly set out how they effectively manage these. They should ensure that, for example, parent companies, other entities or individuals who have control or influence (or whom the regulator reasonably believes has such control or influence) cannot or do not exert influence which would have a damaging effect on the registered provider or its compliance with standards. This could be, for example, charging unfavourable prices for the provision of services.</w:t>
            </w:r>
          </w:p>
        </w:tc>
      </w:tr>
      <w:tr w:rsidR="004F7CF8" w:rsidRPr="007C4B1F" w:rsidTr="009A3ED0">
        <w:trPr>
          <w:trHeight w:val="318"/>
        </w:trPr>
        <w:tc>
          <w:tcPr>
            <w:tcW w:w="988" w:type="dxa"/>
            <w:shd w:val="clear" w:color="auto" w:fill="auto"/>
            <w:vAlign w:val="center"/>
          </w:tcPr>
          <w:p w:rsidR="004F7CF8" w:rsidRPr="004F7CF8" w:rsidRDefault="004F7CF8" w:rsidP="004F7CF8">
            <w:pPr>
              <w:ind w:left="880" w:hanging="880"/>
              <w:jc w:val="center"/>
              <w:rPr>
                <w:rFonts w:ascii="Arial" w:hAnsi="Arial" w:cs="Arial"/>
              </w:rPr>
            </w:pPr>
            <w:r>
              <w:rPr>
                <w:rFonts w:ascii="Arial" w:hAnsi="Arial" w:cs="Arial"/>
              </w:rPr>
              <w:t>43</w:t>
            </w:r>
          </w:p>
        </w:tc>
        <w:tc>
          <w:tcPr>
            <w:tcW w:w="13041" w:type="dxa"/>
            <w:shd w:val="clear" w:color="auto" w:fill="auto"/>
          </w:tcPr>
          <w:p w:rsidR="004F7CF8" w:rsidRPr="004F7CF8" w:rsidRDefault="004F7CF8" w:rsidP="004F7CF8">
            <w:pPr>
              <w:ind w:left="33"/>
              <w:rPr>
                <w:rFonts w:ascii="Arial" w:hAnsi="Arial" w:cs="Arial"/>
                <w:b/>
              </w:rPr>
            </w:pPr>
            <w:r w:rsidRPr="004F7CF8">
              <w:rPr>
                <w:rFonts w:ascii="Arial" w:hAnsi="Arial" w:cs="Arial"/>
              </w:rPr>
              <w:t>Third parties are any person or body which is not the registered provider. This includes, for example, directors and board members and may also include individuals or organisations that have close links to the registered provider.</w:t>
            </w:r>
          </w:p>
        </w:tc>
      </w:tr>
      <w:tr w:rsidR="004F7CF8" w:rsidRPr="007C4B1F" w:rsidTr="00130994">
        <w:trPr>
          <w:trHeight w:val="397"/>
        </w:trPr>
        <w:tc>
          <w:tcPr>
            <w:tcW w:w="14029" w:type="dxa"/>
            <w:gridSpan w:val="2"/>
            <w:shd w:val="clear" w:color="auto" w:fill="165788"/>
            <w:vAlign w:val="center"/>
          </w:tcPr>
          <w:p w:rsidR="004F7CF8" w:rsidRPr="00130994" w:rsidRDefault="004F7CF8" w:rsidP="00AD1B28">
            <w:pPr>
              <w:autoSpaceDE w:val="0"/>
              <w:autoSpaceDN w:val="0"/>
              <w:adjustRightInd w:val="0"/>
              <w:rPr>
                <w:rFonts w:ascii="Arial" w:hAnsi="Arial" w:cs="Arial"/>
                <w:b/>
                <w:color w:val="FFFFFF" w:themeColor="background1"/>
              </w:rPr>
            </w:pPr>
            <w:r w:rsidRPr="00130994">
              <w:rPr>
                <w:rFonts w:ascii="Arial" w:hAnsi="Arial" w:cs="Arial"/>
                <w:b/>
                <w:color w:val="FFFFFF" w:themeColor="background1"/>
              </w:rPr>
              <w:t>Bdht Compliance Position</w:t>
            </w:r>
            <w:r w:rsidR="00AD1B28" w:rsidRPr="00130994">
              <w:rPr>
                <w:rFonts w:ascii="Arial" w:hAnsi="Arial" w:cs="Arial"/>
                <w:b/>
                <w:color w:val="FFFFFF" w:themeColor="background1"/>
              </w:rPr>
              <w:t xml:space="preserve"> - Compliant</w:t>
            </w:r>
          </w:p>
        </w:tc>
      </w:tr>
      <w:tr w:rsidR="004F7CF8" w:rsidRPr="007C4B1F" w:rsidTr="009A3ED0">
        <w:trPr>
          <w:trHeight w:val="318"/>
        </w:trPr>
        <w:tc>
          <w:tcPr>
            <w:tcW w:w="14029" w:type="dxa"/>
            <w:gridSpan w:val="2"/>
            <w:shd w:val="clear" w:color="auto" w:fill="auto"/>
          </w:tcPr>
          <w:p w:rsidR="004F7CF8" w:rsidRPr="00130994" w:rsidRDefault="007C205B" w:rsidP="007C205B">
            <w:pPr>
              <w:rPr>
                <w:rFonts w:ascii="Arial" w:hAnsi="Arial" w:cs="Arial"/>
                <w:color w:val="165788"/>
              </w:rPr>
            </w:pPr>
            <w:r w:rsidRPr="00130994">
              <w:rPr>
                <w:rFonts w:ascii="Arial" w:hAnsi="Arial" w:cs="Arial"/>
                <w:color w:val="165788"/>
              </w:rPr>
              <w:t>Bdht has r</w:t>
            </w:r>
            <w:r w:rsidR="00AD1B28" w:rsidRPr="00130994">
              <w:rPr>
                <w:rFonts w:ascii="Arial" w:hAnsi="Arial" w:cs="Arial"/>
                <w:color w:val="165788"/>
              </w:rPr>
              <w:t xml:space="preserve">obust </w:t>
            </w:r>
            <w:r w:rsidRPr="00130994">
              <w:rPr>
                <w:rFonts w:ascii="Arial" w:hAnsi="Arial" w:cs="Arial"/>
                <w:color w:val="165788"/>
              </w:rPr>
              <w:t xml:space="preserve">arrangements (within the Articles of Association, Standing Orders and adopted Code of Governance) to ensure organisational independence and </w:t>
            </w:r>
            <w:r w:rsidR="00AD1B28" w:rsidRPr="00130994">
              <w:rPr>
                <w:rFonts w:ascii="Arial" w:hAnsi="Arial" w:cs="Arial"/>
                <w:color w:val="165788"/>
              </w:rPr>
              <w:t xml:space="preserve">declaration </w:t>
            </w:r>
            <w:r w:rsidRPr="00130994">
              <w:rPr>
                <w:rFonts w:ascii="Arial" w:hAnsi="Arial" w:cs="Arial"/>
                <w:color w:val="165788"/>
              </w:rPr>
              <w:t xml:space="preserve">of </w:t>
            </w:r>
            <w:r w:rsidR="00AD1B28" w:rsidRPr="00130994">
              <w:rPr>
                <w:rFonts w:ascii="Arial" w:hAnsi="Arial" w:cs="Arial"/>
                <w:color w:val="165788"/>
              </w:rPr>
              <w:t>and recording of interests.</w:t>
            </w:r>
          </w:p>
        </w:tc>
      </w:tr>
      <w:tr w:rsidR="004F7CF8" w:rsidRPr="007C4B1F" w:rsidTr="009A3ED0">
        <w:trPr>
          <w:trHeight w:val="318"/>
        </w:trPr>
        <w:tc>
          <w:tcPr>
            <w:tcW w:w="988" w:type="dxa"/>
            <w:shd w:val="clear" w:color="auto" w:fill="auto"/>
            <w:vAlign w:val="center"/>
          </w:tcPr>
          <w:p w:rsidR="004F7CF8" w:rsidRPr="00414434" w:rsidRDefault="004F7CF8" w:rsidP="00810979">
            <w:pPr>
              <w:ind w:left="880" w:hanging="880"/>
              <w:jc w:val="center"/>
              <w:rPr>
                <w:rFonts w:ascii="Arial" w:hAnsi="Arial" w:cs="Arial"/>
                <w:b/>
              </w:rPr>
            </w:pPr>
            <w:r w:rsidRPr="00414434">
              <w:rPr>
                <w:rFonts w:ascii="Arial" w:hAnsi="Arial" w:cs="Arial"/>
                <w:b/>
              </w:rPr>
              <w:t>2.7</w:t>
            </w:r>
          </w:p>
        </w:tc>
        <w:tc>
          <w:tcPr>
            <w:tcW w:w="13041" w:type="dxa"/>
            <w:shd w:val="clear" w:color="auto" w:fill="auto"/>
          </w:tcPr>
          <w:p w:rsidR="004F7CF8" w:rsidRPr="00414434" w:rsidRDefault="004F7CF8" w:rsidP="004F7CF8">
            <w:pPr>
              <w:rPr>
                <w:rFonts w:ascii="Arial" w:hAnsi="Arial" w:cs="Arial"/>
                <w:b/>
              </w:rPr>
            </w:pPr>
            <w:r w:rsidRPr="00414434">
              <w:rPr>
                <w:rFonts w:ascii="Arial" w:hAnsi="Arial" w:cs="Arial"/>
                <w:b/>
              </w:rPr>
              <w:t>Registered providers shall communicate with the regulator in an accurate and timely manner. This includes returns to the regulator, including an annual report on any losses from fraudulent activity, in a form determined by the regulator.</w:t>
            </w:r>
          </w:p>
        </w:tc>
      </w:tr>
      <w:tr w:rsidR="00810979" w:rsidRPr="007C4B1F" w:rsidTr="009A3ED0">
        <w:trPr>
          <w:trHeight w:val="397"/>
        </w:trPr>
        <w:tc>
          <w:tcPr>
            <w:tcW w:w="14029" w:type="dxa"/>
            <w:gridSpan w:val="2"/>
            <w:shd w:val="clear" w:color="auto" w:fill="auto"/>
            <w:vAlign w:val="center"/>
          </w:tcPr>
          <w:p w:rsidR="00810979" w:rsidRPr="00971698" w:rsidRDefault="00810979" w:rsidP="00971698">
            <w:pPr>
              <w:ind w:left="33"/>
              <w:rPr>
                <w:rFonts w:ascii="Arial" w:hAnsi="Arial" w:cs="Arial"/>
                <w:b/>
              </w:rPr>
            </w:pPr>
            <w:r w:rsidRPr="00971698">
              <w:rPr>
                <w:rFonts w:ascii="Arial" w:hAnsi="Arial" w:cs="Arial"/>
                <w:b/>
              </w:rPr>
              <w:t xml:space="preserve">Code of Practice: </w:t>
            </w:r>
            <w:r w:rsidRPr="00971698">
              <w:rPr>
                <w:rFonts w:ascii="Arial" w:hAnsi="Arial" w:cs="Arial"/>
                <w:b/>
                <w:bCs/>
              </w:rPr>
              <w:t>Specific expectations applicable to all registered providers; paragraph 2.7</w:t>
            </w:r>
          </w:p>
        </w:tc>
      </w:tr>
      <w:tr w:rsidR="00810979" w:rsidRPr="007C4B1F" w:rsidTr="009A3ED0">
        <w:trPr>
          <w:trHeight w:val="318"/>
        </w:trPr>
        <w:tc>
          <w:tcPr>
            <w:tcW w:w="988" w:type="dxa"/>
            <w:shd w:val="clear" w:color="auto" w:fill="auto"/>
            <w:vAlign w:val="center"/>
          </w:tcPr>
          <w:p w:rsidR="00810979" w:rsidRPr="00810979" w:rsidRDefault="00810979" w:rsidP="00810979">
            <w:pPr>
              <w:ind w:left="880" w:hanging="880"/>
              <w:jc w:val="center"/>
              <w:rPr>
                <w:rFonts w:ascii="Arial" w:hAnsi="Arial" w:cs="Arial"/>
              </w:rPr>
            </w:pPr>
            <w:r w:rsidRPr="00810979">
              <w:rPr>
                <w:rFonts w:ascii="Arial" w:hAnsi="Arial" w:cs="Arial"/>
              </w:rPr>
              <w:t>44</w:t>
            </w:r>
          </w:p>
        </w:tc>
        <w:tc>
          <w:tcPr>
            <w:tcW w:w="13041" w:type="dxa"/>
            <w:shd w:val="clear" w:color="auto" w:fill="auto"/>
          </w:tcPr>
          <w:p w:rsidR="00810979" w:rsidRPr="00810979" w:rsidRDefault="00810979" w:rsidP="00810979">
            <w:pPr>
              <w:rPr>
                <w:rFonts w:ascii="Arial" w:hAnsi="Arial" w:cs="Arial"/>
                <w:b/>
              </w:rPr>
            </w:pPr>
            <w:r w:rsidRPr="00810979">
              <w:rPr>
                <w:rFonts w:ascii="Arial" w:hAnsi="Arial" w:cs="Arial"/>
              </w:rPr>
              <w:t>The regulator requires registered providers to communicate with them in an accurate and timely manner. This includes provision of information, for example data returns. The regulator will clearly articulate its requirements for regulatory returns to the sector and, where appropriate, will consult on these. It is the responsibility of registered providers to ensure that they submit required data returns in a timely manner and the information provided is of a good quality. This includes for example ensuring that returns such as the Financial Forecast Return are fully complete with no missing information, that the data is accurate and submitted by the deadline required. It is not the regulator’s role to correct or fill in incorrect or missing data and we will view such returns as evidence of a weak control environment.</w:t>
            </w:r>
          </w:p>
        </w:tc>
      </w:tr>
      <w:tr w:rsidR="00810979" w:rsidRPr="007C4B1F" w:rsidTr="00130994">
        <w:trPr>
          <w:trHeight w:val="567"/>
        </w:trPr>
        <w:tc>
          <w:tcPr>
            <w:tcW w:w="14029" w:type="dxa"/>
            <w:gridSpan w:val="2"/>
            <w:shd w:val="clear" w:color="auto" w:fill="165788"/>
            <w:vAlign w:val="center"/>
          </w:tcPr>
          <w:p w:rsidR="00810979" w:rsidRPr="00130994" w:rsidRDefault="00810979" w:rsidP="00AD1B28">
            <w:pPr>
              <w:autoSpaceDE w:val="0"/>
              <w:autoSpaceDN w:val="0"/>
              <w:adjustRightInd w:val="0"/>
              <w:rPr>
                <w:rFonts w:ascii="Arial" w:hAnsi="Arial" w:cs="Arial"/>
                <w:b/>
                <w:color w:val="FFFFFF" w:themeColor="background1"/>
              </w:rPr>
            </w:pPr>
            <w:r w:rsidRPr="00130994">
              <w:rPr>
                <w:rFonts w:ascii="Arial" w:hAnsi="Arial" w:cs="Arial"/>
                <w:b/>
                <w:color w:val="FFFFFF" w:themeColor="background1"/>
              </w:rPr>
              <w:t>Bdht Compliance Position</w:t>
            </w:r>
            <w:r w:rsidR="00AD1B28" w:rsidRPr="00130994">
              <w:rPr>
                <w:rFonts w:ascii="Arial" w:hAnsi="Arial" w:cs="Arial"/>
                <w:b/>
                <w:color w:val="FFFFFF" w:themeColor="background1"/>
              </w:rPr>
              <w:t xml:space="preserve"> - Compliant</w:t>
            </w:r>
          </w:p>
        </w:tc>
      </w:tr>
      <w:tr w:rsidR="00810979" w:rsidRPr="007C4B1F" w:rsidTr="009A3ED0">
        <w:trPr>
          <w:trHeight w:val="318"/>
        </w:trPr>
        <w:tc>
          <w:tcPr>
            <w:tcW w:w="14029" w:type="dxa"/>
            <w:gridSpan w:val="2"/>
            <w:shd w:val="clear" w:color="auto" w:fill="auto"/>
          </w:tcPr>
          <w:p w:rsidR="00AD1B28" w:rsidRPr="00130994" w:rsidRDefault="00AD1B28" w:rsidP="00AD1B28">
            <w:pPr>
              <w:rPr>
                <w:rFonts w:ascii="Arial" w:hAnsi="Arial" w:cs="Arial"/>
                <w:color w:val="165788"/>
              </w:rPr>
            </w:pPr>
            <w:r w:rsidRPr="00130994">
              <w:rPr>
                <w:rFonts w:ascii="Arial" w:hAnsi="Arial" w:cs="Arial"/>
                <w:color w:val="165788"/>
              </w:rPr>
              <w:t xml:space="preserve">bdht complete </w:t>
            </w:r>
            <w:r w:rsidR="00130994" w:rsidRPr="00130994">
              <w:rPr>
                <w:rFonts w:ascii="Arial" w:hAnsi="Arial" w:cs="Arial"/>
                <w:color w:val="165788"/>
              </w:rPr>
              <w:t xml:space="preserve">RSH </w:t>
            </w:r>
            <w:r w:rsidRPr="00130994">
              <w:rPr>
                <w:rFonts w:ascii="Arial" w:hAnsi="Arial" w:cs="Arial"/>
                <w:color w:val="165788"/>
              </w:rPr>
              <w:t>returns within stated timeframes</w:t>
            </w:r>
            <w:r w:rsidR="00CD48C1" w:rsidRPr="00130994">
              <w:rPr>
                <w:rFonts w:ascii="Arial" w:hAnsi="Arial" w:cs="Arial"/>
                <w:color w:val="165788"/>
              </w:rPr>
              <w:t xml:space="preserve"> and to the required standard</w:t>
            </w:r>
            <w:r w:rsidRPr="00130994">
              <w:rPr>
                <w:rFonts w:ascii="Arial" w:hAnsi="Arial" w:cs="Arial"/>
                <w:color w:val="165788"/>
              </w:rPr>
              <w:t>.</w:t>
            </w:r>
            <w:r w:rsidR="00CD48C1" w:rsidRPr="00130994">
              <w:rPr>
                <w:rFonts w:ascii="Arial" w:hAnsi="Arial" w:cs="Arial"/>
                <w:color w:val="165788"/>
              </w:rPr>
              <w:t xml:space="preserve"> </w:t>
            </w:r>
          </w:p>
          <w:p w:rsidR="00810979" w:rsidRPr="00130994" w:rsidRDefault="00810979" w:rsidP="00AD1B28">
            <w:pPr>
              <w:rPr>
                <w:rFonts w:ascii="Arial" w:hAnsi="Arial" w:cs="Arial"/>
                <w:color w:val="165788"/>
              </w:rPr>
            </w:pPr>
          </w:p>
        </w:tc>
      </w:tr>
      <w:tr w:rsidR="00810979" w:rsidRPr="007C4B1F" w:rsidTr="009A3ED0">
        <w:trPr>
          <w:trHeight w:val="318"/>
        </w:trPr>
        <w:tc>
          <w:tcPr>
            <w:tcW w:w="988" w:type="dxa"/>
            <w:shd w:val="clear" w:color="auto" w:fill="auto"/>
            <w:vAlign w:val="center"/>
          </w:tcPr>
          <w:p w:rsidR="00810979" w:rsidRPr="00414434" w:rsidRDefault="00810979" w:rsidP="00810979">
            <w:pPr>
              <w:ind w:left="880" w:hanging="880"/>
              <w:jc w:val="center"/>
              <w:rPr>
                <w:rFonts w:ascii="Arial" w:hAnsi="Arial" w:cs="Arial"/>
                <w:b/>
              </w:rPr>
            </w:pPr>
            <w:r w:rsidRPr="00414434">
              <w:rPr>
                <w:rFonts w:ascii="Arial" w:hAnsi="Arial" w:cs="Arial"/>
                <w:b/>
              </w:rPr>
              <w:t>2.8</w:t>
            </w:r>
          </w:p>
        </w:tc>
        <w:tc>
          <w:tcPr>
            <w:tcW w:w="13041" w:type="dxa"/>
            <w:shd w:val="clear" w:color="auto" w:fill="auto"/>
          </w:tcPr>
          <w:p w:rsidR="00810979" w:rsidRPr="00414434" w:rsidRDefault="00810979" w:rsidP="00810979">
            <w:pPr>
              <w:rPr>
                <w:rFonts w:ascii="Arial" w:hAnsi="Arial" w:cs="Arial"/>
                <w:b/>
              </w:rPr>
            </w:pPr>
            <w:r w:rsidRPr="00414434">
              <w:rPr>
                <w:rFonts w:ascii="Arial" w:hAnsi="Arial" w:cs="Arial"/>
                <w:b/>
              </w:rPr>
              <w:t xml:space="preserve">Registered providers shall assess their compliance with the Governance </w:t>
            </w:r>
            <w:r>
              <w:rPr>
                <w:rFonts w:ascii="Arial" w:hAnsi="Arial" w:cs="Arial"/>
                <w:b/>
              </w:rPr>
              <w:t>and</w:t>
            </w:r>
            <w:r w:rsidRPr="00414434">
              <w:rPr>
                <w:rFonts w:ascii="Arial" w:hAnsi="Arial" w:cs="Arial"/>
                <w:b/>
              </w:rPr>
              <w:t xml:space="preserve"> Financial Viability Standard at least once a year. Registered providers’ boards shall certify in their annual accounts their compliance with this Governance and Financial Viability Standard.</w:t>
            </w:r>
          </w:p>
        </w:tc>
      </w:tr>
      <w:tr w:rsidR="00810979" w:rsidRPr="007C4B1F" w:rsidTr="009A3ED0">
        <w:trPr>
          <w:trHeight w:val="397"/>
        </w:trPr>
        <w:tc>
          <w:tcPr>
            <w:tcW w:w="14029" w:type="dxa"/>
            <w:gridSpan w:val="2"/>
            <w:shd w:val="clear" w:color="auto" w:fill="auto"/>
            <w:vAlign w:val="center"/>
          </w:tcPr>
          <w:p w:rsidR="00810979" w:rsidRPr="00810979" w:rsidRDefault="00810979" w:rsidP="00810979">
            <w:pPr>
              <w:rPr>
                <w:rFonts w:ascii="Arial" w:hAnsi="Arial" w:cs="Arial"/>
              </w:rPr>
            </w:pPr>
            <w:r w:rsidRPr="000253EB">
              <w:rPr>
                <w:rFonts w:ascii="Arial" w:hAnsi="Arial" w:cs="Arial"/>
                <w:b/>
              </w:rPr>
              <w:t>Code of Practice</w:t>
            </w:r>
            <w:r>
              <w:rPr>
                <w:rFonts w:ascii="Arial" w:hAnsi="Arial" w:cs="Arial"/>
                <w:b/>
              </w:rPr>
              <w:t>:</w:t>
            </w:r>
            <w:r w:rsidRPr="000253EB">
              <w:rPr>
                <w:rFonts w:ascii="Arial" w:hAnsi="Arial" w:cs="Arial"/>
                <w:b/>
              </w:rPr>
              <w:t xml:space="preserve"> </w:t>
            </w:r>
            <w:r>
              <w:rPr>
                <w:b/>
                <w:bCs/>
                <w:sz w:val="28"/>
                <w:szCs w:val="28"/>
              </w:rPr>
              <w:t>Specific expectations applicable to all registered providers; paragraph 2.8</w:t>
            </w:r>
          </w:p>
        </w:tc>
      </w:tr>
      <w:tr w:rsidR="00810979" w:rsidRPr="007C4B1F" w:rsidTr="009A3ED0">
        <w:trPr>
          <w:trHeight w:val="318"/>
        </w:trPr>
        <w:tc>
          <w:tcPr>
            <w:tcW w:w="988" w:type="dxa"/>
            <w:shd w:val="clear" w:color="auto" w:fill="auto"/>
            <w:vAlign w:val="center"/>
          </w:tcPr>
          <w:p w:rsidR="00810979" w:rsidRPr="00810979" w:rsidRDefault="00810979" w:rsidP="00810979">
            <w:pPr>
              <w:ind w:left="880" w:hanging="880"/>
              <w:jc w:val="center"/>
              <w:rPr>
                <w:rFonts w:ascii="Arial" w:hAnsi="Arial" w:cs="Arial"/>
              </w:rPr>
            </w:pPr>
            <w:r w:rsidRPr="00810979">
              <w:rPr>
                <w:rFonts w:ascii="Arial" w:hAnsi="Arial" w:cs="Arial"/>
              </w:rPr>
              <w:t>45</w:t>
            </w:r>
          </w:p>
        </w:tc>
        <w:tc>
          <w:tcPr>
            <w:tcW w:w="13041" w:type="dxa"/>
            <w:shd w:val="clear" w:color="auto" w:fill="auto"/>
          </w:tcPr>
          <w:p w:rsidR="00810979" w:rsidRPr="00810979" w:rsidRDefault="00810979" w:rsidP="00810979">
            <w:pPr>
              <w:rPr>
                <w:rFonts w:ascii="Arial" w:hAnsi="Arial" w:cs="Arial"/>
                <w:b/>
              </w:rPr>
            </w:pPr>
            <w:r w:rsidRPr="00810979">
              <w:rPr>
                <w:rFonts w:ascii="Arial" w:hAnsi="Arial" w:cs="Arial"/>
              </w:rPr>
              <w:t>In addition to assuring themselves of compliance with standards on a yearly basis, boards need to assure themselves of their continuing compliance when taking on significant new risks. This could be, for example, when undertaking a new development or entering a major contract. Registered providers’ boards shall certify their compliance in the narrative report which accompanies their financial statements. When certifying compliance with the Standard, registered providers shall ensure that they consider compliance with regulatory standards in the round as set out in the required outcomes of the Standard.</w:t>
            </w:r>
          </w:p>
        </w:tc>
      </w:tr>
      <w:tr w:rsidR="00810979" w:rsidRPr="007C4B1F" w:rsidTr="00130994">
        <w:trPr>
          <w:trHeight w:val="397"/>
        </w:trPr>
        <w:tc>
          <w:tcPr>
            <w:tcW w:w="14029" w:type="dxa"/>
            <w:gridSpan w:val="2"/>
            <w:shd w:val="clear" w:color="auto" w:fill="165788"/>
            <w:vAlign w:val="center"/>
          </w:tcPr>
          <w:p w:rsidR="00810979" w:rsidRPr="00130994" w:rsidRDefault="00810979" w:rsidP="00810979">
            <w:pPr>
              <w:autoSpaceDE w:val="0"/>
              <w:autoSpaceDN w:val="0"/>
              <w:adjustRightInd w:val="0"/>
              <w:rPr>
                <w:rFonts w:ascii="Arial" w:hAnsi="Arial" w:cs="Arial"/>
                <w:b/>
                <w:color w:val="FFFFFF" w:themeColor="background1"/>
              </w:rPr>
            </w:pPr>
            <w:r w:rsidRPr="00130994">
              <w:rPr>
                <w:rFonts w:ascii="Arial" w:hAnsi="Arial" w:cs="Arial"/>
                <w:b/>
                <w:color w:val="FFFFFF" w:themeColor="background1"/>
              </w:rPr>
              <w:t>Bdht Compliance Position</w:t>
            </w:r>
            <w:r w:rsidR="00AD1B28" w:rsidRPr="00130994">
              <w:rPr>
                <w:rFonts w:ascii="Arial" w:hAnsi="Arial" w:cs="Arial"/>
                <w:b/>
                <w:color w:val="FFFFFF" w:themeColor="background1"/>
              </w:rPr>
              <w:t xml:space="preserve"> - Compliant</w:t>
            </w:r>
          </w:p>
        </w:tc>
      </w:tr>
      <w:tr w:rsidR="00810979" w:rsidRPr="007C4B1F" w:rsidTr="009A3ED0">
        <w:trPr>
          <w:trHeight w:val="318"/>
        </w:trPr>
        <w:tc>
          <w:tcPr>
            <w:tcW w:w="14029" w:type="dxa"/>
            <w:gridSpan w:val="2"/>
            <w:shd w:val="clear" w:color="auto" w:fill="auto"/>
          </w:tcPr>
          <w:p w:rsidR="004D4363" w:rsidRPr="003A3863" w:rsidRDefault="009B42B5" w:rsidP="00130994">
            <w:pPr>
              <w:rPr>
                <w:rFonts w:ascii="Arial" w:hAnsi="Arial" w:cs="Arial"/>
                <w:color w:val="009B3A"/>
              </w:rPr>
            </w:pPr>
            <w:r w:rsidRPr="00130994">
              <w:rPr>
                <w:rFonts w:ascii="Arial" w:hAnsi="Arial" w:cs="Arial"/>
                <w:color w:val="165788"/>
              </w:rPr>
              <w:t>A d</w:t>
            </w:r>
            <w:r w:rsidR="00AD1B28" w:rsidRPr="00130994">
              <w:rPr>
                <w:rFonts w:ascii="Arial" w:hAnsi="Arial" w:cs="Arial"/>
                <w:color w:val="165788"/>
              </w:rPr>
              <w:t xml:space="preserve">etailed </w:t>
            </w:r>
            <w:r w:rsidRPr="00130994">
              <w:rPr>
                <w:rFonts w:ascii="Arial" w:hAnsi="Arial" w:cs="Arial"/>
                <w:color w:val="165788"/>
              </w:rPr>
              <w:t xml:space="preserve">assessment of compliance with the </w:t>
            </w:r>
            <w:r w:rsidR="00F83759" w:rsidRPr="00130994">
              <w:rPr>
                <w:rFonts w:ascii="Arial" w:hAnsi="Arial" w:cs="Arial"/>
                <w:color w:val="165788"/>
              </w:rPr>
              <w:t>“</w:t>
            </w:r>
            <w:r w:rsidRPr="00130994">
              <w:rPr>
                <w:rFonts w:ascii="Arial" w:hAnsi="Arial" w:cs="Arial"/>
                <w:color w:val="165788"/>
              </w:rPr>
              <w:t>economic</w:t>
            </w:r>
            <w:r w:rsidR="00F83759" w:rsidRPr="00130994">
              <w:rPr>
                <w:rFonts w:ascii="Arial" w:hAnsi="Arial" w:cs="Arial"/>
                <w:color w:val="165788"/>
              </w:rPr>
              <w:t>”</w:t>
            </w:r>
            <w:r w:rsidRPr="00130994">
              <w:rPr>
                <w:rFonts w:ascii="Arial" w:hAnsi="Arial" w:cs="Arial"/>
                <w:color w:val="165788"/>
              </w:rPr>
              <w:t xml:space="preserve"> standards </w:t>
            </w:r>
            <w:r w:rsidR="00F83759" w:rsidRPr="00130994">
              <w:rPr>
                <w:rFonts w:ascii="Arial" w:hAnsi="Arial" w:cs="Arial"/>
                <w:color w:val="165788"/>
              </w:rPr>
              <w:t xml:space="preserve">(including external review) </w:t>
            </w:r>
            <w:r w:rsidRPr="00130994">
              <w:rPr>
                <w:rFonts w:ascii="Arial" w:hAnsi="Arial" w:cs="Arial"/>
                <w:color w:val="165788"/>
              </w:rPr>
              <w:t xml:space="preserve">was undertaken by the </w:t>
            </w:r>
            <w:r w:rsidR="00AD1B28" w:rsidRPr="00130994">
              <w:rPr>
                <w:rFonts w:ascii="Arial" w:hAnsi="Arial" w:cs="Arial"/>
                <w:color w:val="165788"/>
              </w:rPr>
              <w:t xml:space="preserve">Compliance Committee </w:t>
            </w:r>
            <w:r w:rsidR="00611885" w:rsidRPr="00130994">
              <w:rPr>
                <w:rFonts w:ascii="Arial" w:hAnsi="Arial" w:cs="Arial"/>
                <w:color w:val="165788"/>
              </w:rPr>
              <w:t xml:space="preserve">in </w:t>
            </w:r>
            <w:r w:rsidR="00AD1B28" w:rsidRPr="00130994">
              <w:rPr>
                <w:rFonts w:ascii="Arial" w:hAnsi="Arial" w:cs="Arial"/>
                <w:color w:val="165788"/>
              </w:rPr>
              <w:t>June 201</w:t>
            </w:r>
            <w:r w:rsidR="00130994" w:rsidRPr="00130994">
              <w:rPr>
                <w:rFonts w:ascii="Arial" w:hAnsi="Arial" w:cs="Arial"/>
                <w:color w:val="165788"/>
              </w:rPr>
              <w:t>7</w:t>
            </w:r>
            <w:r w:rsidR="00AD1B28" w:rsidRPr="00130994">
              <w:rPr>
                <w:rFonts w:ascii="Arial" w:hAnsi="Arial" w:cs="Arial"/>
                <w:color w:val="165788"/>
              </w:rPr>
              <w:t xml:space="preserve"> and</w:t>
            </w:r>
            <w:r w:rsidR="00F83759" w:rsidRPr="00130994">
              <w:rPr>
                <w:rFonts w:ascii="Arial" w:hAnsi="Arial" w:cs="Arial"/>
                <w:color w:val="165788"/>
              </w:rPr>
              <w:t>, in respect of “consumer” standards,</w:t>
            </w:r>
            <w:r w:rsidR="00AD1B28" w:rsidRPr="00130994">
              <w:rPr>
                <w:rFonts w:ascii="Arial" w:hAnsi="Arial" w:cs="Arial"/>
                <w:color w:val="165788"/>
              </w:rPr>
              <w:t xml:space="preserve"> </w:t>
            </w:r>
            <w:r w:rsidRPr="00130994">
              <w:rPr>
                <w:rFonts w:ascii="Arial" w:hAnsi="Arial" w:cs="Arial"/>
                <w:color w:val="165788"/>
              </w:rPr>
              <w:t xml:space="preserve">by </w:t>
            </w:r>
            <w:r w:rsidR="00F83759" w:rsidRPr="00130994">
              <w:rPr>
                <w:rFonts w:ascii="Arial" w:hAnsi="Arial" w:cs="Arial"/>
                <w:color w:val="165788"/>
              </w:rPr>
              <w:t>the Performance &amp; Review Committee (incorporating an assessment undertaken by the Tenant Panel) in July 201</w:t>
            </w:r>
            <w:r w:rsidR="00130994" w:rsidRPr="00130994">
              <w:rPr>
                <w:rFonts w:ascii="Arial" w:hAnsi="Arial" w:cs="Arial"/>
                <w:color w:val="165788"/>
              </w:rPr>
              <w:t>7</w:t>
            </w:r>
            <w:r w:rsidR="00F83759" w:rsidRPr="00130994">
              <w:rPr>
                <w:rFonts w:ascii="Arial" w:hAnsi="Arial" w:cs="Arial"/>
                <w:color w:val="165788"/>
              </w:rPr>
              <w:t>.</w:t>
            </w:r>
            <w:r w:rsidRPr="00130994">
              <w:rPr>
                <w:rFonts w:ascii="Arial" w:hAnsi="Arial" w:cs="Arial"/>
                <w:color w:val="165788"/>
              </w:rPr>
              <w:t xml:space="preserve"> </w:t>
            </w:r>
            <w:r w:rsidR="004D4363" w:rsidRPr="00130994">
              <w:rPr>
                <w:rFonts w:ascii="Arial" w:hAnsi="Arial" w:cs="Arial"/>
                <w:color w:val="165788"/>
              </w:rPr>
              <w:t>Based upon these detailed assessments t</w:t>
            </w:r>
            <w:r w:rsidR="00F83759" w:rsidRPr="00130994">
              <w:rPr>
                <w:rFonts w:ascii="Arial" w:hAnsi="Arial" w:cs="Arial"/>
                <w:color w:val="165788"/>
              </w:rPr>
              <w:t xml:space="preserve">he Board of bdht certified compliance with the Governance &amp; Financial Viability standard (taking into account the overall compliance position with all the </w:t>
            </w:r>
            <w:r w:rsidR="00130994" w:rsidRPr="00130994">
              <w:rPr>
                <w:rFonts w:ascii="Arial" w:hAnsi="Arial" w:cs="Arial"/>
                <w:color w:val="165788"/>
              </w:rPr>
              <w:t>regulatory</w:t>
            </w:r>
            <w:r w:rsidR="00F83759" w:rsidRPr="00130994">
              <w:rPr>
                <w:rFonts w:ascii="Arial" w:hAnsi="Arial" w:cs="Arial"/>
                <w:color w:val="165788"/>
              </w:rPr>
              <w:t xml:space="preserve"> standards) in July 201</w:t>
            </w:r>
            <w:r w:rsidR="00130994" w:rsidRPr="00130994">
              <w:rPr>
                <w:rFonts w:ascii="Arial" w:hAnsi="Arial" w:cs="Arial"/>
                <w:color w:val="165788"/>
              </w:rPr>
              <w:t>7</w:t>
            </w:r>
            <w:r w:rsidR="004D4363" w:rsidRPr="00130994">
              <w:rPr>
                <w:rFonts w:ascii="Arial" w:hAnsi="Arial" w:cs="Arial"/>
                <w:color w:val="165788"/>
              </w:rPr>
              <w:t xml:space="preserve">. This certification </w:t>
            </w:r>
            <w:r w:rsidR="00130994" w:rsidRPr="00130994">
              <w:rPr>
                <w:rFonts w:ascii="Arial" w:hAnsi="Arial" w:cs="Arial"/>
                <w:color w:val="165788"/>
              </w:rPr>
              <w:t>was</w:t>
            </w:r>
            <w:r w:rsidR="00F83759" w:rsidRPr="00130994">
              <w:rPr>
                <w:rFonts w:ascii="Arial" w:hAnsi="Arial" w:cs="Arial"/>
                <w:color w:val="165788"/>
              </w:rPr>
              <w:t xml:space="preserve"> published within the 201</w:t>
            </w:r>
            <w:r w:rsidR="00130994" w:rsidRPr="00130994">
              <w:rPr>
                <w:rFonts w:ascii="Arial" w:hAnsi="Arial" w:cs="Arial"/>
                <w:color w:val="165788"/>
              </w:rPr>
              <w:t>6</w:t>
            </w:r>
            <w:r w:rsidR="00F83759" w:rsidRPr="00130994">
              <w:rPr>
                <w:rFonts w:ascii="Arial" w:hAnsi="Arial" w:cs="Arial"/>
                <w:color w:val="165788"/>
              </w:rPr>
              <w:t>/1</w:t>
            </w:r>
            <w:r w:rsidR="00130994" w:rsidRPr="00130994">
              <w:rPr>
                <w:rFonts w:ascii="Arial" w:hAnsi="Arial" w:cs="Arial"/>
                <w:color w:val="165788"/>
              </w:rPr>
              <w:t>7</w:t>
            </w:r>
            <w:r w:rsidR="00F83759" w:rsidRPr="00130994">
              <w:rPr>
                <w:rFonts w:ascii="Arial" w:hAnsi="Arial" w:cs="Arial"/>
                <w:color w:val="165788"/>
              </w:rPr>
              <w:t xml:space="preserve"> annual accounts. </w:t>
            </w:r>
            <w:r w:rsidR="003A3863" w:rsidRPr="00130994">
              <w:rPr>
                <w:rFonts w:ascii="Arial" w:hAnsi="Arial" w:cs="Arial"/>
                <w:color w:val="165788"/>
              </w:rPr>
              <w:t>This process will be repeated for 201</w:t>
            </w:r>
            <w:r w:rsidR="00130994" w:rsidRPr="00130994">
              <w:rPr>
                <w:rFonts w:ascii="Arial" w:hAnsi="Arial" w:cs="Arial"/>
                <w:color w:val="165788"/>
              </w:rPr>
              <w:t>7</w:t>
            </w:r>
            <w:r w:rsidR="003A3863" w:rsidRPr="00130994">
              <w:rPr>
                <w:rFonts w:ascii="Arial" w:hAnsi="Arial" w:cs="Arial"/>
                <w:color w:val="165788"/>
              </w:rPr>
              <w:t>/1</w:t>
            </w:r>
            <w:r w:rsidR="00130994" w:rsidRPr="00130994">
              <w:rPr>
                <w:rFonts w:ascii="Arial" w:hAnsi="Arial" w:cs="Arial"/>
                <w:color w:val="165788"/>
              </w:rPr>
              <w:t>8</w:t>
            </w:r>
            <w:r w:rsidR="003A3863" w:rsidRPr="00130994">
              <w:rPr>
                <w:rFonts w:ascii="Arial" w:hAnsi="Arial" w:cs="Arial"/>
                <w:color w:val="165788"/>
              </w:rPr>
              <w:t xml:space="preserve"> with Board certification published within the 201</w:t>
            </w:r>
            <w:r w:rsidR="00130994" w:rsidRPr="00130994">
              <w:rPr>
                <w:rFonts w:ascii="Arial" w:hAnsi="Arial" w:cs="Arial"/>
                <w:color w:val="165788"/>
              </w:rPr>
              <w:t>7</w:t>
            </w:r>
            <w:r w:rsidR="003A3863" w:rsidRPr="00130994">
              <w:rPr>
                <w:rFonts w:ascii="Arial" w:hAnsi="Arial" w:cs="Arial"/>
                <w:color w:val="165788"/>
              </w:rPr>
              <w:t>/1</w:t>
            </w:r>
            <w:r w:rsidR="00130994" w:rsidRPr="00130994">
              <w:rPr>
                <w:rFonts w:ascii="Arial" w:hAnsi="Arial" w:cs="Arial"/>
                <w:color w:val="165788"/>
              </w:rPr>
              <w:t>8</w:t>
            </w:r>
            <w:r w:rsidR="003A3863" w:rsidRPr="00130994">
              <w:rPr>
                <w:rFonts w:ascii="Arial" w:hAnsi="Arial" w:cs="Arial"/>
                <w:color w:val="165788"/>
              </w:rPr>
              <w:t xml:space="preserve"> annual accounts.</w:t>
            </w:r>
          </w:p>
        </w:tc>
      </w:tr>
      <w:tr w:rsidR="00B15C78" w:rsidRPr="007C4B1F" w:rsidTr="00130994">
        <w:trPr>
          <w:trHeight w:val="567"/>
        </w:trPr>
        <w:tc>
          <w:tcPr>
            <w:tcW w:w="14029" w:type="dxa"/>
            <w:gridSpan w:val="2"/>
            <w:shd w:val="clear" w:color="auto" w:fill="165788"/>
            <w:vAlign w:val="center"/>
          </w:tcPr>
          <w:p w:rsidR="00B15C78" w:rsidRPr="00130994" w:rsidRDefault="00B15C78" w:rsidP="00B15C78">
            <w:pPr>
              <w:rPr>
                <w:rFonts w:ascii="Arial" w:hAnsi="Arial" w:cs="Arial"/>
                <w:b/>
                <w:color w:val="FFFFFF" w:themeColor="background1"/>
              </w:rPr>
            </w:pPr>
            <w:r w:rsidRPr="00130994">
              <w:rPr>
                <w:rFonts w:ascii="Arial" w:hAnsi="Arial" w:cs="Arial"/>
                <w:b/>
                <w:color w:val="FFFFFF" w:themeColor="background1"/>
              </w:rPr>
              <w:t>Section 2.1 to 2.8 Recommendations for Improvement</w:t>
            </w:r>
          </w:p>
        </w:tc>
      </w:tr>
      <w:tr w:rsidR="00201F84" w:rsidRPr="007C4B1F" w:rsidTr="009A3ED0">
        <w:trPr>
          <w:trHeight w:val="364"/>
        </w:trPr>
        <w:tc>
          <w:tcPr>
            <w:tcW w:w="14029" w:type="dxa"/>
            <w:gridSpan w:val="2"/>
            <w:shd w:val="clear" w:color="auto" w:fill="auto"/>
            <w:vAlign w:val="center"/>
          </w:tcPr>
          <w:p w:rsidR="00460838" w:rsidRDefault="00E568AB" w:rsidP="00130994">
            <w:pPr>
              <w:ind w:left="33"/>
              <w:rPr>
                <w:rFonts w:ascii="Arial" w:hAnsi="Arial" w:cs="Arial"/>
                <w:color w:val="165788"/>
              </w:rPr>
            </w:pPr>
            <w:r w:rsidRPr="00E568AB">
              <w:rPr>
                <w:rFonts w:ascii="Arial" w:hAnsi="Arial" w:cs="Arial"/>
                <w:color w:val="165788"/>
              </w:rPr>
              <w:t>2.2</w:t>
            </w:r>
            <w:r w:rsidR="00460838">
              <w:rPr>
                <w:rFonts w:ascii="Arial" w:hAnsi="Arial" w:cs="Arial"/>
                <w:color w:val="165788"/>
              </w:rPr>
              <w:t xml:space="preserve"> As set out in the Corporate Plan “GVM 3 Board Possess the Required Skills”:</w:t>
            </w:r>
          </w:p>
          <w:p w:rsidR="00E568AB" w:rsidRDefault="00E568AB" w:rsidP="00460838">
            <w:pPr>
              <w:pStyle w:val="ListParagraph"/>
              <w:numPr>
                <w:ilvl w:val="1"/>
                <w:numId w:val="40"/>
              </w:numPr>
              <w:ind w:left="1730" w:hanging="283"/>
              <w:rPr>
                <w:rFonts w:ascii="Arial" w:hAnsi="Arial" w:cs="Arial"/>
                <w:color w:val="165788"/>
              </w:rPr>
            </w:pPr>
            <w:r w:rsidRPr="00460838">
              <w:rPr>
                <w:rFonts w:ascii="Arial" w:hAnsi="Arial" w:cs="Arial"/>
                <w:color w:val="165788"/>
              </w:rPr>
              <w:t>To complete a Board Skills exercise in advance and in support of a Board Member recruitment process in 2019.</w:t>
            </w:r>
          </w:p>
          <w:p w:rsidR="00201F84" w:rsidRPr="003A3863" w:rsidRDefault="00E568AB" w:rsidP="00460838">
            <w:pPr>
              <w:pStyle w:val="ListParagraph"/>
              <w:numPr>
                <w:ilvl w:val="1"/>
                <w:numId w:val="40"/>
              </w:numPr>
              <w:ind w:left="1730" w:hanging="283"/>
              <w:rPr>
                <w:rFonts w:ascii="Arial" w:hAnsi="Arial" w:cs="Arial"/>
                <w:color w:val="009B3A"/>
              </w:rPr>
            </w:pPr>
            <w:r w:rsidRPr="00460838">
              <w:rPr>
                <w:rFonts w:ascii="Arial" w:hAnsi="Arial" w:cs="Arial"/>
                <w:color w:val="165788"/>
              </w:rPr>
              <w:t>To undertake a Board Effectiveness review ahead of the recruitment process in 2019</w:t>
            </w:r>
          </w:p>
        </w:tc>
      </w:tr>
      <w:tr w:rsidR="00E568AB" w:rsidRPr="007C4B1F" w:rsidTr="009A3ED0">
        <w:trPr>
          <w:trHeight w:val="364"/>
        </w:trPr>
        <w:tc>
          <w:tcPr>
            <w:tcW w:w="14029" w:type="dxa"/>
            <w:gridSpan w:val="2"/>
            <w:shd w:val="clear" w:color="auto" w:fill="auto"/>
            <w:vAlign w:val="center"/>
          </w:tcPr>
          <w:p w:rsidR="00E568AB" w:rsidRDefault="00460838" w:rsidP="00130994">
            <w:pPr>
              <w:ind w:left="33"/>
              <w:rPr>
                <w:rFonts w:ascii="Arial" w:hAnsi="Arial" w:cs="Arial"/>
                <w:color w:val="165788"/>
              </w:rPr>
            </w:pPr>
            <w:r>
              <w:rPr>
                <w:rFonts w:ascii="Arial" w:hAnsi="Arial" w:cs="Arial"/>
                <w:color w:val="165788"/>
              </w:rPr>
              <w:t>2.5b The Compliance Committee has commissioned internal auditors to provide an updated review of assurance in respect of bdht’s approach to Stress Testing during 2018.</w:t>
            </w:r>
          </w:p>
        </w:tc>
      </w:tr>
    </w:tbl>
    <w:p w:rsidR="0016141C" w:rsidRDefault="0016141C"/>
    <w:p w:rsidR="0016141C" w:rsidRDefault="0016141C">
      <w:r>
        <w:br w:type="page"/>
      </w:r>
    </w:p>
    <w:tbl>
      <w:tblPr>
        <w:tblW w:w="14029" w:type="dxa"/>
        <w:tblBorders>
          <w:top w:val="single" w:sz="4" w:space="0" w:color="165788"/>
          <w:left w:val="single" w:sz="4" w:space="0" w:color="165788"/>
          <w:bottom w:val="single" w:sz="4" w:space="0" w:color="165788"/>
          <w:right w:val="single" w:sz="4" w:space="0" w:color="165788"/>
          <w:insideH w:val="single" w:sz="4" w:space="0" w:color="165788"/>
          <w:insideV w:val="single" w:sz="4" w:space="0" w:color="165788"/>
        </w:tblBorders>
        <w:tblLook w:val="04A0" w:firstRow="1" w:lastRow="0" w:firstColumn="1" w:lastColumn="0" w:noHBand="0" w:noVBand="1"/>
      </w:tblPr>
      <w:tblGrid>
        <w:gridCol w:w="988"/>
        <w:gridCol w:w="13041"/>
      </w:tblGrid>
      <w:tr w:rsidR="00810979" w:rsidRPr="007C4B1F" w:rsidTr="00130994">
        <w:trPr>
          <w:trHeight w:val="680"/>
        </w:trPr>
        <w:tc>
          <w:tcPr>
            <w:tcW w:w="14029" w:type="dxa"/>
            <w:gridSpan w:val="2"/>
            <w:tcBorders>
              <w:bottom w:val="single" w:sz="4" w:space="0" w:color="FFFFFF" w:themeColor="background1"/>
            </w:tcBorders>
            <w:shd w:val="clear" w:color="auto" w:fill="165788"/>
            <w:vAlign w:val="center"/>
          </w:tcPr>
          <w:p w:rsidR="00810979" w:rsidRPr="00130994" w:rsidRDefault="00810979" w:rsidP="00810979">
            <w:pPr>
              <w:ind w:left="880" w:hanging="880"/>
              <w:rPr>
                <w:rFonts w:ascii="Arial" w:hAnsi="Arial" w:cs="Arial"/>
                <w:b/>
                <w:color w:val="FFFFFF" w:themeColor="background1"/>
              </w:rPr>
            </w:pPr>
            <w:r w:rsidRPr="00130994">
              <w:rPr>
                <w:rFonts w:ascii="Arial" w:hAnsi="Arial" w:cs="Arial"/>
                <w:b/>
                <w:color w:val="FFFFFF" w:themeColor="background1"/>
              </w:rPr>
              <w:t>3. Specific expectations applicable to specific categories of registered provider</w:t>
            </w:r>
          </w:p>
        </w:tc>
      </w:tr>
      <w:tr w:rsidR="00810979" w:rsidRPr="007C4B1F" w:rsidTr="00130994">
        <w:trPr>
          <w:trHeight w:val="318"/>
        </w:trPr>
        <w:tc>
          <w:tcPr>
            <w:tcW w:w="14029" w:type="dxa"/>
            <w:gridSpan w:val="2"/>
            <w:tcBorders>
              <w:top w:val="single" w:sz="4" w:space="0" w:color="FFFFFF" w:themeColor="background1"/>
            </w:tcBorders>
            <w:shd w:val="clear" w:color="auto" w:fill="165788"/>
          </w:tcPr>
          <w:p w:rsidR="00810979" w:rsidRPr="00130994" w:rsidRDefault="00810979" w:rsidP="00810979">
            <w:pPr>
              <w:ind w:left="880" w:hanging="880"/>
              <w:rPr>
                <w:rFonts w:ascii="Arial" w:hAnsi="Arial" w:cs="Arial"/>
                <w:b/>
                <w:color w:val="FFFFFF" w:themeColor="background1"/>
              </w:rPr>
            </w:pPr>
            <w:r w:rsidRPr="00130994">
              <w:rPr>
                <w:rFonts w:ascii="Arial" w:hAnsi="Arial" w:cs="Arial"/>
                <w:b/>
                <w:color w:val="FFFFFF" w:themeColor="background1"/>
              </w:rPr>
              <w:t>Registered group parents</w:t>
            </w:r>
          </w:p>
        </w:tc>
      </w:tr>
      <w:tr w:rsidR="00810979" w:rsidRPr="007C4B1F" w:rsidTr="00130994">
        <w:trPr>
          <w:trHeight w:val="318"/>
        </w:trPr>
        <w:tc>
          <w:tcPr>
            <w:tcW w:w="988" w:type="dxa"/>
            <w:shd w:val="clear" w:color="auto" w:fill="auto"/>
            <w:vAlign w:val="center"/>
          </w:tcPr>
          <w:p w:rsidR="00810979" w:rsidRPr="00414434" w:rsidRDefault="00810979" w:rsidP="00B15C78">
            <w:pPr>
              <w:ind w:left="880" w:hanging="880"/>
              <w:jc w:val="center"/>
              <w:rPr>
                <w:rFonts w:ascii="Arial" w:hAnsi="Arial" w:cs="Arial"/>
                <w:b/>
              </w:rPr>
            </w:pPr>
            <w:r w:rsidRPr="00414434">
              <w:rPr>
                <w:rFonts w:ascii="Arial" w:hAnsi="Arial" w:cs="Arial"/>
                <w:b/>
              </w:rPr>
              <w:t>3.1</w:t>
            </w:r>
          </w:p>
        </w:tc>
        <w:tc>
          <w:tcPr>
            <w:tcW w:w="13041" w:type="dxa"/>
            <w:shd w:val="clear" w:color="auto" w:fill="auto"/>
          </w:tcPr>
          <w:p w:rsidR="00810979" w:rsidRPr="00414434" w:rsidRDefault="00810979" w:rsidP="00810979">
            <w:pPr>
              <w:rPr>
                <w:rFonts w:ascii="Arial" w:hAnsi="Arial" w:cs="Arial"/>
                <w:b/>
              </w:rPr>
            </w:pPr>
            <w:r w:rsidRPr="00414434">
              <w:rPr>
                <w:rFonts w:ascii="Arial" w:hAnsi="Arial" w:cs="Arial"/>
                <w:b/>
              </w:rPr>
              <w:t>Registered providers which are parent companies shall, as appropriate, support or assist those of their subsidiaries that are registered providers with a view of ensuring compliance with regulatory requirements.</w:t>
            </w:r>
          </w:p>
        </w:tc>
      </w:tr>
      <w:tr w:rsidR="00810979" w:rsidRPr="007C4B1F" w:rsidTr="00130994">
        <w:trPr>
          <w:trHeight w:val="318"/>
        </w:trPr>
        <w:tc>
          <w:tcPr>
            <w:tcW w:w="14029" w:type="dxa"/>
            <w:gridSpan w:val="2"/>
            <w:shd w:val="clear" w:color="auto" w:fill="auto"/>
          </w:tcPr>
          <w:p w:rsidR="00810979" w:rsidRPr="00130994" w:rsidRDefault="006F7DFD" w:rsidP="00460838">
            <w:pPr>
              <w:rPr>
                <w:rFonts w:ascii="Arial" w:hAnsi="Arial" w:cs="Arial"/>
                <w:color w:val="165788"/>
              </w:rPr>
            </w:pPr>
            <w:r w:rsidRPr="00130994">
              <w:rPr>
                <w:rFonts w:ascii="Arial" w:hAnsi="Arial" w:cs="Arial"/>
                <w:color w:val="165788"/>
              </w:rPr>
              <w:t>Not applicable</w:t>
            </w:r>
            <w:r w:rsidR="00173AAE" w:rsidRPr="00130994">
              <w:rPr>
                <w:rFonts w:ascii="Arial" w:hAnsi="Arial" w:cs="Arial"/>
                <w:color w:val="165788"/>
              </w:rPr>
              <w:t>, bdht is not currently part of a group structure.</w:t>
            </w:r>
          </w:p>
        </w:tc>
      </w:tr>
      <w:tr w:rsidR="00810979" w:rsidRPr="007C4B1F" w:rsidTr="00130994">
        <w:trPr>
          <w:trHeight w:val="318"/>
        </w:trPr>
        <w:tc>
          <w:tcPr>
            <w:tcW w:w="14029" w:type="dxa"/>
            <w:gridSpan w:val="2"/>
            <w:shd w:val="clear" w:color="auto" w:fill="165788"/>
            <w:vAlign w:val="center"/>
          </w:tcPr>
          <w:p w:rsidR="00810979" w:rsidRPr="00D74016" w:rsidRDefault="00810979" w:rsidP="00810979">
            <w:pPr>
              <w:ind w:left="880" w:hanging="880"/>
              <w:rPr>
                <w:rFonts w:ascii="Arial" w:hAnsi="Arial" w:cs="Arial"/>
                <w:b/>
                <w:color w:val="FFFFFF" w:themeColor="background1"/>
              </w:rPr>
            </w:pPr>
            <w:r w:rsidRPr="00D74016">
              <w:rPr>
                <w:rFonts w:ascii="Arial" w:hAnsi="Arial" w:cs="Arial"/>
                <w:b/>
                <w:color w:val="FFFFFF" w:themeColor="background1"/>
              </w:rPr>
              <w:t>Registered providers with unregistered parents</w:t>
            </w:r>
          </w:p>
        </w:tc>
      </w:tr>
      <w:tr w:rsidR="00810979" w:rsidRPr="007C4B1F" w:rsidTr="00130994">
        <w:trPr>
          <w:trHeight w:val="318"/>
        </w:trPr>
        <w:tc>
          <w:tcPr>
            <w:tcW w:w="988" w:type="dxa"/>
            <w:shd w:val="clear" w:color="auto" w:fill="auto"/>
            <w:vAlign w:val="center"/>
          </w:tcPr>
          <w:p w:rsidR="00810979" w:rsidRPr="00414434" w:rsidRDefault="00810979" w:rsidP="00B15C78">
            <w:pPr>
              <w:ind w:left="880" w:hanging="880"/>
              <w:jc w:val="center"/>
              <w:rPr>
                <w:rFonts w:ascii="Arial" w:hAnsi="Arial" w:cs="Arial"/>
                <w:b/>
              </w:rPr>
            </w:pPr>
            <w:r w:rsidRPr="00414434">
              <w:rPr>
                <w:rFonts w:ascii="Arial" w:hAnsi="Arial" w:cs="Arial"/>
                <w:b/>
              </w:rPr>
              <w:t>3.2</w:t>
            </w:r>
          </w:p>
        </w:tc>
        <w:tc>
          <w:tcPr>
            <w:tcW w:w="13041" w:type="dxa"/>
            <w:shd w:val="clear" w:color="auto" w:fill="auto"/>
          </w:tcPr>
          <w:p w:rsidR="00810979" w:rsidRPr="00414434" w:rsidRDefault="00810979" w:rsidP="00810979">
            <w:pPr>
              <w:rPr>
                <w:rFonts w:ascii="Arial" w:hAnsi="Arial" w:cs="Arial"/>
                <w:b/>
              </w:rPr>
            </w:pPr>
            <w:r w:rsidRPr="00414434">
              <w:rPr>
                <w:rFonts w:ascii="Arial" w:hAnsi="Arial" w:cs="Arial"/>
                <w:b/>
              </w:rPr>
              <w:t>Registered providers with parent companies who are not registered providers shall ensure that they do not enter into agreements to support the activity of the parent or another group member that may have a material negative impact on the social housing assets of the registered provider.</w:t>
            </w:r>
          </w:p>
        </w:tc>
      </w:tr>
      <w:tr w:rsidR="000E69AE" w:rsidRPr="007C4B1F" w:rsidTr="00130994">
        <w:trPr>
          <w:trHeight w:val="318"/>
        </w:trPr>
        <w:tc>
          <w:tcPr>
            <w:tcW w:w="14029" w:type="dxa"/>
            <w:gridSpan w:val="2"/>
            <w:shd w:val="clear" w:color="auto" w:fill="auto"/>
          </w:tcPr>
          <w:p w:rsidR="000E69AE" w:rsidRPr="00130994" w:rsidRDefault="006F7DFD" w:rsidP="00460838">
            <w:pPr>
              <w:rPr>
                <w:rFonts w:ascii="Arial" w:hAnsi="Arial" w:cs="Arial"/>
                <w:color w:val="165788"/>
              </w:rPr>
            </w:pPr>
            <w:r w:rsidRPr="00130994">
              <w:rPr>
                <w:rFonts w:ascii="Arial" w:hAnsi="Arial" w:cs="Arial"/>
                <w:color w:val="165788"/>
              </w:rPr>
              <w:t>Not applicable.</w:t>
            </w:r>
          </w:p>
        </w:tc>
      </w:tr>
      <w:tr w:rsidR="00810979" w:rsidRPr="007C4B1F" w:rsidTr="00130994">
        <w:trPr>
          <w:trHeight w:val="318"/>
        </w:trPr>
        <w:tc>
          <w:tcPr>
            <w:tcW w:w="988" w:type="dxa"/>
            <w:shd w:val="clear" w:color="auto" w:fill="auto"/>
            <w:vAlign w:val="center"/>
          </w:tcPr>
          <w:p w:rsidR="00810979" w:rsidRPr="00414434" w:rsidRDefault="00810979" w:rsidP="00F37308">
            <w:pPr>
              <w:ind w:left="880" w:hanging="880"/>
              <w:jc w:val="center"/>
              <w:rPr>
                <w:rFonts w:ascii="Arial" w:hAnsi="Arial" w:cs="Arial"/>
                <w:b/>
              </w:rPr>
            </w:pPr>
            <w:r w:rsidRPr="00414434">
              <w:rPr>
                <w:rFonts w:ascii="Arial" w:hAnsi="Arial" w:cs="Arial"/>
                <w:b/>
              </w:rPr>
              <w:t>3.3</w:t>
            </w:r>
          </w:p>
        </w:tc>
        <w:tc>
          <w:tcPr>
            <w:tcW w:w="13041" w:type="dxa"/>
            <w:shd w:val="clear" w:color="auto" w:fill="auto"/>
          </w:tcPr>
          <w:p w:rsidR="00810979" w:rsidRPr="00414434" w:rsidRDefault="00810979" w:rsidP="00810979">
            <w:pPr>
              <w:ind w:left="33"/>
              <w:rPr>
                <w:rFonts w:ascii="Arial" w:hAnsi="Arial" w:cs="Arial"/>
                <w:b/>
              </w:rPr>
            </w:pPr>
            <w:r w:rsidRPr="00414434">
              <w:rPr>
                <w:rFonts w:ascii="Arial" w:hAnsi="Arial" w:cs="Arial"/>
                <w:b/>
              </w:rPr>
              <w:t>To enable compliance with the regulator’s standards or other regulatory requirements, registered providers with parent companies that are not registered providers shall have in place effective mechanisms to ensure that:</w:t>
            </w:r>
          </w:p>
          <w:p w:rsidR="00810979" w:rsidRPr="00414434" w:rsidRDefault="00810979" w:rsidP="00896CA9">
            <w:pPr>
              <w:pStyle w:val="ListParagraph"/>
              <w:numPr>
                <w:ilvl w:val="0"/>
                <w:numId w:val="8"/>
              </w:numPr>
              <w:ind w:hanging="720"/>
              <w:rPr>
                <w:rFonts w:ascii="Arial" w:hAnsi="Arial" w:cs="Arial"/>
                <w:b/>
              </w:rPr>
            </w:pPr>
            <w:r w:rsidRPr="00414434">
              <w:rPr>
                <w:rFonts w:ascii="Arial" w:hAnsi="Arial" w:cs="Arial"/>
                <w:b/>
              </w:rPr>
              <w:t>such parent companies will give any appropriate support or assistance as necessary to the registered provider</w:t>
            </w:r>
          </w:p>
          <w:p w:rsidR="00810979" w:rsidRPr="00414434" w:rsidRDefault="00810979" w:rsidP="00896CA9">
            <w:pPr>
              <w:pStyle w:val="ListParagraph"/>
              <w:numPr>
                <w:ilvl w:val="0"/>
                <w:numId w:val="8"/>
              </w:numPr>
              <w:ind w:hanging="720"/>
              <w:rPr>
                <w:rFonts w:ascii="Arial" w:hAnsi="Arial" w:cs="Arial"/>
                <w:b/>
              </w:rPr>
            </w:pPr>
            <w:r w:rsidRPr="00414434">
              <w:rPr>
                <w:rFonts w:ascii="Arial" w:hAnsi="Arial" w:cs="Arial"/>
                <w:b/>
              </w:rPr>
              <w:t>such registered providers have the ability to require the support or assistance of the parent company concerned</w:t>
            </w:r>
          </w:p>
          <w:p w:rsidR="00810979" w:rsidRPr="00414434" w:rsidRDefault="00810979" w:rsidP="00896CA9">
            <w:pPr>
              <w:pStyle w:val="ListParagraph"/>
              <w:numPr>
                <w:ilvl w:val="0"/>
                <w:numId w:val="8"/>
              </w:numPr>
              <w:ind w:hanging="720"/>
              <w:rPr>
                <w:rFonts w:ascii="Arial" w:hAnsi="Arial" w:cs="Arial"/>
                <w:b/>
              </w:rPr>
            </w:pPr>
            <w:r w:rsidRPr="00414434">
              <w:rPr>
                <w:rFonts w:ascii="Arial" w:hAnsi="Arial" w:cs="Arial"/>
                <w:b/>
              </w:rPr>
              <w:t>the registered provider’s ability to meet the regulator’s standards and other regulatory requirements is not and cannot be prejudiced by the activities or influence of the parent company or another part of the group.</w:t>
            </w:r>
          </w:p>
        </w:tc>
      </w:tr>
      <w:tr w:rsidR="00810979" w:rsidRPr="007C4B1F" w:rsidTr="00130994">
        <w:trPr>
          <w:trHeight w:val="318"/>
        </w:trPr>
        <w:tc>
          <w:tcPr>
            <w:tcW w:w="14029" w:type="dxa"/>
            <w:gridSpan w:val="2"/>
            <w:shd w:val="clear" w:color="auto" w:fill="auto"/>
            <w:vAlign w:val="center"/>
          </w:tcPr>
          <w:p w:rsidR="00810979" w:rsidRPr="00130994" w:rsidRDefault="006F7DFD" w:rsidP="00460838">
            <w:pPr>
              <w:ind w:left="880" w:hanging="880"/>
              <w:rPr>
                <w:rFonts w:ascii="Arial" w:hAnsi="Arial" w:cs="Arial"/>
                <w:color w:val="165788"/>
              </w:rPr>
            </w:pPr>
            <w:r w:rsidRPr="00130994">
              <w:rPr>
                <w:rFonts w:ascii="Arial" w:hAnsi="Arial" w:cs="Arial"/>
                <w:color w:val="165788"/>
              </w:rPr>
              <w:t>Not applicable.</w:t>
            </w:r>
          </w:p>
        </w:tc>
      </w:tr>
      <w:tr w:rsidR="00810979" w:rsidRPr="007C4B1F" w:rsidTr="00130994">
        <w:trPr>
          <w:trHeight w:val="318"/>
        </w:trPr>
        <w:tc>
          <w:tcPr>
            <w:tcW w:w="14029" w:type="dxa"/>
            <w:gridSpan w:val="2"/>
            <w:shd w:val="clear" w:color="auto" w:fill="165788"/>
            <w:vAlign w:val="center"/>
          </w:tcPr>
          <w:p w:rsidR="00810979" w:rsidRPr="00D74016" w:rsidRDefault="00810979" w:rsidP="00810979">
            <w:pPr>
              <w:ind w:left="880" w:hanging="880"/>
              <w:rPr>
                <w:rFonts w:ascii="Arial" w:hAnsi="Arial" w:cs="Arial"/>
                <w:b/>
                <w:color w:val="FFFFFF" w:themeColor="background1"/>
              </w:rPr>
            </w:pPr>
            <w:r w:rsidRPr="00D74016">
              <w:rPr>
                <w:rFonts w:ascii="Arial" w:hAnsi="Arial" w:cs="Arial"/>
                <w:b/>
                <w:color w:val="FFFFFF" w:themeColor="background1"/>
              </w:rPr>
              <w:t>Profit making registered providers</w:t>
            </w:r>
          </w:p>
        </w:tc>
      </w:tr>
      <w:tr w:rsidR="00810979" w:rsidRPr="007C4B1F" w:rsidTr="00130994">
        <w:trPr>
          <w:trHeight w:val="318"/>
        </w:trPr>
        <w:tc>
          <w:tcPr>
            <w:tcW w:w="988" w:type="dxa"/>
            <w:shd w:val="clear" w:color="auto" w:fill="auto"/>
            <w:vAlign w:val="center"/>
          </w:tcPr>
          <w:p w:rsidR="00810979" w:rsidRPr="00414434" w:rsidRDefault="00810979" w:rsidP="0044465B">
            <w:pPr>
              <w:ind w:left="880" w:hanging="880"/>
              <w:jc w:val="center"/>
              <w:rPr>
                <w:rFonts w:ascii="Arial" w:hAnsi="Arial" w:cs="Arial"/>
                <w:b/>
              </w:rPr>
            </w:pPr>
            <w:r w:rsidRPr="00414434">
              <w:rPr>
                <w:rFonts w:ascii="Arial" w:hAnsi="Arial" w:cs="Arial"/>
                <w:b/>
              </w:rPr>
              <w:t>3.4</w:t>
            </w:r>
          </w:p>
        </w:tc>
        <w:tc>
          <w:tcPr>
            <w:tcW w:w="13041" w:type="dxa"/>
            <w:shd w:val="clear" w:color="auto" w:fill="auto"/>
          </w:tcPr>
          <w:p w:rsidR="00810979" w:rsidRPr="00414434" w:rsidRDefault="00810979" w:rsidP="00810979">
            <w:pPr>
              <w:rPr>
                <w:rFonts w:ascii="Arial" w:hAnsi="Arial" w:cs="Arial"/>
                <w:b/>
              </w:rPr>
            </w:pPr>
            <w:r w:rsidRPr="00414434">
              <w:rPr>
                <w:rFonts w:ascii="Arial" w:hAnsi="Arial" w:cs="Arial"/>
                <w:b/>
              </w:rPr>
              <w:t xml:space="preserve">Profit making registered providers shall ensure that they undertake their social housing activities in an entity which is legally and operationally separated from any other activities they may undertake, except as set out below. </w:t>
            </w:r>
          </w:p>
        </w:tc>
      </w:tr>
      <w:tr w:rsidR="00810979" w:rsidRPr="007C4B1F" w:rsidTr="00130994">
        <w:trPr>
          <w:trHeight w:val="318"/>
        </w:trPr>
        <w:tc>
          <w:tcPr>
            <w:tcW w:w="988" w:type="dxa"/>
            <w:shd w:val="clear" w:color="auto" w:fill="auto"/>
            <w:vAlign w:val="center"/>
          </w:tcPr>
          <w:p w:rsidR="00810979" w:rsidRPr="00414434" w:rsidRDefault="00810979" w:rsidP="0044465B">
            <w:pPr>
              <w:ind w:left="880" w:hanging="880"/>
              <w:jc w:val="center"/>
              <w:rPr>
                <w:rFonts w:ascii="Arial" w:hAnsi="Arial" w:cs="Arial"/>
                <w:b/>
              </w:rPr>
            </w:pPr>
            <w:r w:rsidRPr="00414434">
              <w:rPr>
                <w:rFonts w:ascii="Arial" w:hAnsi="Arial" w:cs="Arial"/>
                <w:b/>
              </w:rPr>
              <w:t>3.5</w:t>
            </w:r>
          </w:p>
        </w:tc>
        <w:tc>
          <w:tcPr>
            <w:tcW w:w="13041" w:type="dxa"/>
            <w:shd w:val="clear" w:color="auto" w:fill="auto"/>
          </w:tcPr>
          <w:p w:rsidR="00810979" w:rsidRPr="00414434" w:rsidRDefault="00810979" w:rsidP="00810979">
            <w:pPr>
              <w:rPr>
                <w:rFonts w:ascii="Arial" w:hAnsi="Arial" w:cs="Arial"/>
                <w:b/>
              </w:rPr>
            </w:pPr>
            <w:r w:rsidRPr="00414434">
              <w:rPr>
                <w:rFonts w:ascii="Arial" w:hAnsi="Arial" w:cs="Arial"/>
                <w:b/>
              </w:rPr>
              <w:t>Profit making registered providers should ensure that activities they undertake which do not relate to the provision of social housing:</w:t>
            </w:r>
          </w:p>
          <w:p w:rsidR="00810979" w:rsidRPr="00414434" w:rsidRDefault="00810979" w:rsidP="00810979">
            <w:pPr>
              <w:rPr>
                <w:rFonts w:ascii="Arial" w:hAnsi="Arial" w:cs="Arial"/>
                <w:b/>
              </w:rPr>
            </w:pPr>
          </w:p>
          <w:p w:rsidR="00810979" w:rsidRPr="00414434" w:rsidRDefault="00810979" w:rsidP="00896CA9">
            <w:pPr>
              <w:pStyle w:val="ListParagraph"/>
              <w:numPr>
                <w:ilvl w:val="0"/>
                <w:numId w:val="9"/>
              </w:numPr>
              <w:rPr>
                <w:rFonts w:ascii="Arial" w:hAnsi="Arial" w:cs="Arial"/>
                <w:b/>
              </w:rPr>
            </w:pPr>
            <w:r w:rsidRPr="00414434">
              <w:rPr>
                <w:rFonts w:ascii="Arial" w:hAnsi="Arial" w:cs="Arial"/>
                <w:b/>
              </w:rPr>
              <w:t>form only a very small part of the activities they undertake</w:t>
            </w:r>
          </w:p>
          <w:p w:rsidR="00810979" w:rsidRPr="00414434" w:rsidRDefault="00810979" w:rsidP="00896CA9">
            <w:pPr>
              <w:pStyle w:val="ListParagraph"/>
              <w:numPr>
                <w:ilvl w:val="0"/>
                <w:numId w:val="9"/>
              </w:numPr>
              <w:rPr>
                <w:rFonts w:ascii="Arial" w:hAnsi="Arial" w:cs="Arial"/>
                <w:b/>
              </w:rPr>
            </w:pPr>
            <w:r w:rsidRPr="00414434">
              <w:rPr>
                <w:rFonts w:ascii="Arial" w:hAnsi="Arial" w:cs="Arial"/>
                <w:b/>
              </w:rPr>
              <w:t>are not such as to mean that registered providers place social housing assets, activities relating to the provision of social housing or their own financial viability at undue risk.</w:t>
            </w:r>
          </w:p>
        </w:tc>
      </w:tr>
      <w:tr w:rsidR="00810979" w:rsidRPr="007C4B1F" w:rsidTr="00130994">
        <w:trPr>
          <w:trHeight w:val="397"/>
        </w:trPr>
        <w:tc>
          <w:tcPr>
            <w:tcW w:w="14029" w:type="dxa"/>
            <w:gridSpan w:val="2"/>
            <w:shd w:val="clear" w:color="auto" w:fill="auto"/>
            <w:vAlign w:val="center"/>
          </w:tcPr>
          <w:p w:rsidR="00810979" w:rsidRPr="00130994" w:rsidRDefault="006F7DFD" w:rsidP="00810979">
            <w:pPr>
              <w:autoSpaceDE w:val="0"/>
              <w:autoSpaceDN w:val="0"/>
              <w:adjustRightInd w:val="0"/>
              <w:rPr>
                <w:rFonts w:ascii="Arial" w:hAnsi="Arial" w:cs="Arial"/>
                <w:color w:val="165788"/>
              </w:rPr>
            </w:pPr>
            <w:r w:rsidRPr="00130994">
              <w:rPr>
                <w:rFonts w:ascii="Arial" w:hAnsi="Arial" w:cs="Arial"/>
                <w:color w:val="165788"/>
              </w:rPr>
              <w:t>Not applicable</w:t>
            </w:r>
          </w:p>
        </w:tc>
      </w:tr>
    </w:tbl>
    <w:p w:rsidR="00C8002B" w:rsidRDefault="00C8002B">
      <w:pPr>
        <w:rPr>
          <w:rFonts w:ascii="Arial" w:hAnsi="Arial" w:cs="Arial"/>
        </w:rPr>
      </w:pPr>
    </w:p>
    <w:p w:rsidR="0016141C" w:rsidRDefault="0016141C">
      <w:pPr>
        <w:rPr>
          <w:rFonts w:ascii="Arial" w:hAnsi="Arial" w:cs="Arial"/>
        </w:rPr>
      </w:pPr>
      <w:r>
        <w:rPr>
          <w:rFonts w:ascii="Arial" w:hAnsi="Arial" w:cs="Arial"/>
        </w:rPr>
        <w:br w:type="page"/>
      </w:r>
    </w:p>
    <w:tbl>
      <w:tblPr>
        <w:tblW w:w="14029" w:type="dxa"/>
        <w:tblBorders>
          <w:top w:val="single" w:sz="4" w:space="0" w:color="165788"/>
          <w:left w:val="single" w:sz="4" w:space="0" w:color="165788"/>
          <w:bottom w:val="single" w:sz="4" w:space="0" w:color="165788"/>
          <w:right w:val="single" w:sz="4" w:space="0" w:color="165788"/>
          <w:insideH w:val="single" w:sz="4" w:space="0" w:color="165788"/>
          <w:insideV w:val="single" w:sz="4" w:space="0" w:color="165788"/>
        </w:tblBorders>
        <w:tblLayout w:type="fixed"/>
        <w:tblLook w:val="04A0" w:firstRow="1" w:lastRow="0" w:firstColumn="1" w:lastColumn="0" w:noHBand="0" w:noVBand="1"/>
      </w:tblPr>
      <w:tblGrid>
        <w:gridCol w:w="2152"/>
        <w:gridCol w:w="11877"/>
      </w:tblGrid>
      <w:tr w:rsidR="00A300B8" w:rsidRPr="007C4B1F" w:rsidTr="004860DD">
        <w:trPr>
          <w:trHeight w:val="848"/>
        </w:trPr>
        <w:tc>
          <w:tcPr>
            <w:tcW w:w="2152" w:type="dxa"/>
            <w:tcBorders>
              <w:bottom w:val="single" w:sz="4" w:space="0" w:color="FFFFFF" w:themeColor="background1"/>
              <w:right w:val="single" w:sz="4" w:space="0" w:color="FFFFFF" w:themeColor="background1"/>
            </w:tcBorders>
            <w:shd w:val="clear" w:color="auto" w:fill="165788"/>
            <w:vAlign w:val="center"/>
          </w:tcPr>
          <w:p w:rsidR="00A300B8" w:rsidRPr="000F6206" w:rsidRDefault="00A300B8" w:rsidP="00A300B8">
            <w:pPr>
              <w:rPr>
                <w:rFonts w:ascii="Arial" w:hAnsi="Arial" w:cs="Arial"/>
                <w:b/>
                <w:color w:val="FFFFFF" w:themeColor="background1"/>
                <w:sz w:val="28"/>
                <w:szCs w:val="28"/>
              </w:rPr>
            </w:pPr>
            <w:r w:rsidRPr="000F6206">
              <w:rPr>
                <w:rFonts w:ascii="Arial" w:hAnsi="Arial" w:cs="Arial"/>
                <w:b/>
                <w:color w:val="FFFFFF" w:themeColor="background1"/>
                <w:sz w:val="28"/>
                <w:szCs w:val="28"/>
              </w:rPr>
              <w:t>Standard</w:t>
            </w:r>
          </w:p>
        </w:tc>
        <w:tc>
          <w:tcPr>
            <w:tcW w:w="11877" w:type="dxa"/>
            <w:tcBorders>
              <w:left w:val="single" w:sz="4" w:space="0" w:color="FFFFFF" w:themeColor="background1"/>
              <w:bottom w:val="single" w:sz="4" w:space="0" w:color="FFFFFF" w:themeColor="background1"/>
            </w:tcBorders>
            <w:shd w:val="clear" w:color="auto" w:fill="165788"/>
            <w:vAlign w:val="center"/>
          </w:tcPr>
          <w:p w:rsidR="00A300B8" w:rsidRPr="000F6206" w:rsidRDefault="00A300B8" w:rsidP="00A300B8">
            <w:pPr>
              <w:rPr>
                <w:rFonts w:ascii="Arial" w:hAnsi="Arial" w:cs="Arial"/>
                <w:color w:val="FFFFFF" w:themeColor="background1"/>
                <w:sz w:val="28"/>
                <w:szCs w:val="28"/>
              </w:rPr>
            </w:pPr>
            <w:r w:rsidRPr="000F6206">
              <w:rPr>
                <w:rFonts w:ascii="Arial" w:hAnsi="Arial" w:cs="Arial"/>
                <w:b/>
                <w:color w:val="FFFFFF" w:themeColor="background1"/>
                <w:sz w:val="28"/>
                <w:szCs w:val="28"/>
              </w:rPr>
              <w:t>Value for Money</w:t>
            </w:r>
            <w:r w:rsidR="00401BE6" w:rsidRPr="000F6206">
              <w:rPr>
                <w:rFonts w:ascii="Arial" w:hAnsi="Arial" w:cs="Arial"/>
                <w:b/>
                <w:color w:val="FFFFFF" w:themeColor="background1"/>
                <w:sz w:val="28"/>
                <w:szCs w:val="28"/>
              </w:rPr>
              <w:t xml:space="preserve"> Standard</w:t>
            </w:r>
            <w:r w:rsidR="007D14D9">
              <w:rPr>
                <w:rFonts w:ascii="Arial" w:hAnsi="Arial" w:cs="Arial"/>
                <w:b/>
                <w:color w:val="FFFFFF" w:themeColor="background1"/>
                <w:sz w:val="28"/>
                <w:szCs w:val="28"/>
              </w:rPr>
              <w:t xml:space="preserve"> 2012</w:t>
            </w:r>
          </w:p>
        </w:tc>
      </w:tr>
      <w:tr w:rsidR="00323417" w:rsidRPr="007C4B1F" w:rsidTr="004860DD">
        <w:trPr>
          <w:trHeight w:val="454"/>
        </w:trPr>
        <w:tc>
          <w:tcPr>
            <w:tcW w:w="14029" w:type="dxa"/>
            <w:gridSpan w:val="2"/>
            <w:tcBorders>
              <w:top w:val="single" w:sz="4" w:space="0" w:color="FFFFFF" w:themeColor="background1"/>
            </w:tcBorders>
            <w:shd w:val="clear" w:color="auto" w:fill="165788"/>
            <w:vAlign w:val="center"/>
          </w:tcPr>
          <w:p w:rsidR="00323417" w:rsidRPr="000F6206" w:rsidRDefault="00323417" w:rsidP="00323417">
            <w:pPr>
              <w:ind w:left="34" w:hanging="34"/>
              <w:rPr>
                <w:rFonts w:ascii="Arial" w:hAnsi="Arial" w:cs="Arial"/>
                <w:b/>
                <w:color w:val="FFFFFF" w:themeColor="background1"/>
              </w:rPr>
            </w:pPr>
            <w:r w:rsidRPr="000F6206">
              <w:rPr>
                <w:rFonts w:ascii="Arial" w:hAnsi="Arial" w:cs="Arial"/>
                <w:b/>
                <w:color w:val="FFFFFF" w:themeColor="background1"/>
              </w:rPr>
              <w:t>Required Outcomes</w:t>
            </w:r>
          </w:p>
        </w:tc>
      </w:tr>
      <w:tr w:rsidR="00323417" w:rsidRPr="007C4B1F" w:rsidTr="004860DD">
        <w:tc>
          <w:tcPr>
            <w:tcW w:w="14029" w:type="dxa"/>
            <w:gridSpan w:val="2"/>
            <w:shd w:val="clear" w:color="auto" w:fill="auto"/>
          </w:tcPr>
          <w:p w:rsidR="00323417" w:rsidRPr="004E1BC5" w:rsidRDefault="00426D7A" w:rsidP="00067BB7">
            <w:pPr>
              <w:ind w:left="34" w:hanging="34"/>
              <w:rPr>
                <w:rFonts w:ascii="Arial" w:hAnsi="Arial" w:cs="Arial"/>
                <w:color w:val="FF0000"/>
              </w:rPr>
            </w:pPr>
            <w:r>
              <w:rPr>
                <w:rFonts w:ascii="Arial" w:hAnsi="Arial" w:cs="Arial"/>
              </w:rPr>
              <w:t xml:space="preserve">1.1 </w:t>
            </w:r>
            <w:r w:rsidR="00323417" w:rsidRPr="000711B1">
              <w:rPr>
                <w:rFonts w:ascii="Arial" w:hAnsi="Arial" w:cs="Arial"/>
              </w:rPr>
              <w:t>Registered providers shall articulate and deliver a comprehensive and strategic approach to achieving value for money in meeting their organisation’s objectives.  Their boards must maintain a robust assessment of the performance of all their assets and resources (including for example financial, social and environmental returns).  This will take into account the interests of and commitments to stakeholders, and be available to them in a way that is transparent and accessible.  This means managing their resources economically, efficiently and effectively to provide quality services and homes, and planning for and delivering ongoing improvements in value for money.</w:t>
            </w:r>
          </w:p>
        </w:tc>
      </w:tr>
      <w:tr w:rsidR="00323417" w:rsidRPr="007C4B1F" w:rsidTr="004860DD">
        <w:trPr>
          <w:trHeight w:val="454"/>
        </w:trPr>
        <w:tc>
          <w:tcPr>
            <w:tcW w:w="14029" w:type="dxa"/>
            <w:gridSpan w:val="2"/>
            <w:shd w:val="clear" w:color="auto" w:fill="165788"/>
            <w:vAlign w:val="center"/>
          </w:tcPr>
          <w:p w:rsidR="00323417" w:rsidRPr="000F6206" w:rsidRDefault="00323417" w:rsidP="00323417">
            <w:pPr>
              <w:ind w:left="34" w:hanging="34"/>
              <w:rPr>
                <w:rFonts w:ascii="Arial" w:hAnsi="Arial" w:cs="Arial"/>
                <w:b/>
                <w:color w:val="FFFFFF" w:themeColor="background1"/>
              </w:rPr>
            </w:pPr>
            <w:r w:rsidRPr="000F6206">
              <w:rPr>
                <w:rFonts w:ascii="Arial" w:hAnsi="Arial" w:cs="Arial"/>
                <w:b/>
                <w:color w:val="FFFFFF" w:themeColor="background1"/>
              </w:rPr>
              <w:t>Specific Requirements</w:t>
            </w:r>
          </w:p>
        </w:tc>
      </w:tr>
      <w:tr w:rsidR="00323417" w:rsidRPr="007C4B1F" w:rsidTr="004860DD">
        <w:tc>
          <w:tcPr>
            <w:tcW w:w="14029" w:type="dxa"/>
            <w:gridSpan w:val="2"/>
            <w:shd w:val="clear" w:color="auto" w:fill="auto"/>
          </w:tcPr>
          <w:p w:rsidR="00323417" w:rsidRPr="000711B1" w:rsidRDefault="00426D7A" w:rsidP="00323417">
            <w:pPr>
              <w:spacing w:before="100" w:beforeAutospacing="1" w:after="100" w:afterAutospacing="1"/>
              <w:ind w:left="738" w:hanging="738"/>
              <w:rPr>
                <w:rFonts w:ascii="Arial" w:hAnsi="Arial" w:cs="Arial"/>
                <w:lang w:eastAsia="en-GB"/>
              </w:rPr>
            </w:pPr>
            <w:r>
              <w:rPr>
                <w:rFonts w:ascii="Arial" w:hAnsi="Arial" w:cs="Arial"/>
                <w:lang w:eastAsia="en-GB"/>
              </w:rPr>
              <w:t>2</w:t>
            </w:r>
            <w:r w:rsidR="00323417" w:rsidRPr="000711B1">
              <w:rPr>
                <w:rFonts w:ascii="Arial" w:hAnsi="Arial" w:cs="Arial"/>
                <w:lang w:eastAsia="en-GB"/>
              </w:rPr>
              <w:t>.1  Registered providers shall:</w:t>
            </w:r>
          </w:p>
          <w:p w:rsidR="00323417" w:rsidRPr="000711B1" w:rsidRDefault="00323417" w:rsidP="00426D7A">
            <w:pPr>
              <w:numPr>
                <w:ilvl w:val="0"/>
                <w:numId w:val="30"/>
              </w:numPr>
              <w:spacing w:before="100" w:beforeAutospacing="1" w:after="100" w:afterAutospacing="1"/>
              <w:rPr>
                <w:rFonts w:ascii="Arial" w:hAnsi="Arial" w:cs="Arial"/>
                <w:lang w:eastAsia="en-GB"/>
              </w:rPr>
            </w:pPr>
            <w:r w:rsidRPr="000711B1">
              <w:rPr>
                <w:rFonts w:ascii="Arial" w:hAnsi="Arial" w:cs="Arial"/>
                <w:lang w:eastAsia="en-GB"/>
              </w:rPr>
              <w:t xml:space="preserve">have a robust approach to making decisions on the use of resources to deliver the provider's objectives, including an understanding of the trade-offs and opportunity costs of its decisions </w:t>
            </w:r>
          </w:p>
          <w:p w:rsidR="00323417" w:rsidRPr="000711B1" w:rsidRDefault="00323417" w:rsidP="00426D7A">
            <w:pPr>
              <w:numPr>
                <w:ilvl w:val="0"/>
                <w:numId w:val="30"/>
              </w:numPr>
              <w:spacing w:before="100" w:beforeAutospacing="1" w:after="100" w:afterAutospacing="1"/>
              <w:rPr>
                <w:rFonts w:ascii="Arial" w:hAnsi="Arial" w:cs="Arial"/>
                <w:lang w:eastAsia="en-GB"/>
              </w:rPr>
            </w:pPr>
            <w:r w:rsidRPr="000711B1">
              <w:rPr>
                <w:rFonts w:ascii="Arial" w:hAnsi="Arial" w:cs="Arial"/>
                <w:lang w:eastAsia="en-GB"/>
              </w:rPr>
              <w:t>understand the return on its assets, and have a strategy for</w:t>
            </w:r>
            <w:r w:rsidRPr="006A2F7B">
              <w:rPr>
                <w:rFonts w:ascii="Arial" w:hAnsi="Arial" w:cs="Arial"/>
                <w:lang w:eastAsia="en-GB"/>
              </w:rPr>
              <w:t xml:space="preserve"> optimising</w:t>
            </w:r>
            <w:r w:rsidRPr="000711B1">
              <w:rPr>
                <w:rFonts w:ascii="Arial" w:hAnsi="Arial" w:cs="Arial"/>
                <w:lang w:eastAsia="en-GB"/>
              </w:rPr>
              <w:t xml:space="preserve"> the future returns on assets - including rigorous appraisal of all potential options for improving value for money including the potential benefits in alternative delivery models - measured against the</w:t>
            </w:r>
            <w:r w:rsidRPr="006A2F7B">
              <w:rPr>
                <w:rFonts w:ascii="Arial" w:hAnsi="Arial" w:cs="Arial"/>
                <w:lang w:eastAsia="en-GB"/>
              </w:rPr>
              <w:t xml:space="preserve"> organisation's</w:t>
            </w:r>
            <w:r w:rsidRPr="000711B1">
              <w:rPr>
                <w:rFonts w:ascii="Arial" w:hAnsi="Arial" w:cs="Arial"/>
                <w:lang w:eastAsia="en-GB"/>
              </w:rPr>
              <w:t xml:space="preserve"> purpose and objectives </w:t>
            </w:r>
          </w:p>
          <w:p w:rsidR="00323417" w:rsidRPr="000711B1" w:rsidRDefault="00323417" w:rsidP="00426D7A">
            <w:pPr>
              <w:numPr>
                <w:ilvl w:val="0"/>
                <w:numId w:val="30"/>
              </w:numPr>
              <w:spacing w:before="100" w:beforeAutospacing="1" w:after="100" w:afterAutospacing="1"/>
              <w:rPr>
                <w:rFonts w:ascii="Arial" w:hAnsi="Arial" w:cs="Arial"/>
                <w:lang w:eastAsia="en-GB"/>
              </w:rPr>
            </w:pPr>
            <w:r w:rsidRPr="000711B1">
              <w:rPr>
                <w:rFonts w:ascii="Arial" w:hAnsi="Arial" w:cs="Arial"/>
                <w:lang w:eastAsia="en-GB"/>
              </w:rPr>
              <w:t xml:space="preserve">have performance management and scrutiny functions which are effective at driving and delivering improved value for money performance </w:t>
            </w:r>
          </w:p>
          <w:p w:rsidR="00323417" w:rsidRDefault="00323417" w:rsidP="00426D7A">
            <w:pPr>
              <w:numPr>
                <w:ilvl w:val="0"/>
                <w:numId w:val="30"/>
              </w:numPr>
              <w:spacing w:before="100" w:beforeAutospacing="1" w:after="100" w:afterAutospacing="1"/>
              <w:rPr>
                <w:rFonts w:ascii="Arial" w:hAnsi="Arial" w:cs="Arial"/>
                <w:lang w:eastAsia="en-GB"/>
              </w:rPr>
            </w:pPr>
            <w:r w:rsidRPr="000711B1">
              <w:rPr>
                <w:rFonts w:ascii="Arial" w:hAnsi="Arial" w:cs="Arial"/>
                <w:lang w:eastAsia="en-GB"/>
              </w:rPr>
              <w:t xml:space="preserve">understand the costs and outcomes of delivering specific services and which underlying factors influence these costs and how they do so. </w:t>
            </w:r>
          </w:p>
          <w:p w:rsidR="00323417" w:rsidRPr="000711B1" w:rsidRDefault="00426D7A" w:rsidP="00323417">
            <w:pPr>
              <w:spacing w:before="100" w:beforeAutospacing="1" w:after="100" w:afterAutospacing="1"/>
              <w:ind w:left="454" w:hanging="425"/>
              <w:rPr>
                <w:rFonts w:ascii="Arial" w:hAnsi="Arial" w:cs="Arial"/>
                <w:lang w:eastAsia="en-GB"/>
              </w:rPr>
            </w:pPr>
            <w:r>
              <w:rPr>
                <w:rFonts w:ascii="Arial" w:hAnsi="Arial" w:cs="Arial"/>
                <w:lang w:eastAsia="en-GB"/>
              </w:rPr>
              <w:t>2</w:t>
            </w:r>
            <w:r w:rsidR="00323417" w:rsidRPr="000711B1">
              <w:rPr>
                <w:rFonts w:ascii="Arial" w:hAnsi="Arial" w:cs="Arial"/>
                <w:lang w:eastAsia="en-GB"/>
              </w:rPr>
              <w:t>.2 Registered providers' boards shall demonstrate to stakeholders how they are meeting this standard.  As part of that process, on an annual basis, they will publish a robust self</w:t>
            </w:r>
            <w:r w:rsidR="00323417">
              <w:rPr>
                <w:rFonts w:ascii="Arial" w:hAnsi="Arial" w:cs="Arial"/>
                <w:lang w:eastAsia="en-GB"/>
              </w:rPr>
              <w:t>-</w:t>
            </w:r>
            <w:r w:rsidR="00323417" w:rsidRPr="000711B1">
              <w:rPr>
                <w:rFonts w:ascii="Arial" w:hAnsi="Arial" w:cs="Arial"/>
                <w:lang w:eastAsia="en-GB"/>
              </w:rPr>
              <w:t>assessment which sets out in a way that is transparent and accessible to stakeholders how they are achieving value for money in delivering their purpose and objectives.  The assessment shall:</w:t>
            </w:r>
          </w:p>
          <w:p w:rsidR="00323417" w:rsidRPr="000711B1" w:rsidRDefault="00323417" w:rsidP="006C7A6B">
            <w:pPr>
              <w:numPr>
                <w:ilvl w:val="0"/>
                <w:numId w:val="31"/>
              </w:numPr>
              <w:spacing w:before="100" w:beforeAutospacing="1" w:after="100" w:afterAutospacing="1"/>
              <w:rPr>
                <w:rFonts w:ascii="Arial" w:hAnsi="Arial" w:cs="Arial"/>
                <w:lang w:eastAsia="en-GB"/>
              </w:rPr>
            </w:pPr>
            <w:r w:rsidRPr="000711B1">
              <w:rPr>
                <w:rFonts w:ascii="Arial" w:hAnsi="Arial" w:cs="Arial"/>
                <w:lang w:eastAsia="en-GB"/>
              </w:rPr>
              <w:t>enable stakeholde</w:t>
            </w:r>
            <w:r>
              <w:rPr>
                <w:rFonts w:ascii="Arial" w:hAnsi="Arial" w:cs="Arial"/>
                <w:lang w:eastAsia="en-GB"/>
              </w:rPr>
              <w:t>r</w:t>
            </w:r>
            <w:r w:rsidRPr="000711B1">
              <w:rPr>
                <w:rFonts w:ascii="Arial" w:hAnsi="Arial" w:cs="Arial"/>
                <w:lang w:eastAsia="en-GB"/>
              </w:rPr>
              <w:t>s to understand the return on assets measured against the</w:t>
            </w:r>
            <w:r w:rsidRPr="006A2F7B">
              <w:rPr>
                <w:rFonts w:ascii="Arial" w:hAnsi="Arial" w:cs="Arial"/>
                <w:lang w:eastAsia="en-GB"/>
              </w:rPr>
              <w:t xml:space="preserve"> organisation's</w:t>
            </w:r>
            <w:r w:rsidRPr="000711B1">
              <w:rPr>
                <w:rFonts w:ascii="Arial" w:hAnsi="Arial" w:cs="Arial"/>
                <w:lang w:eastAsia="en-GB"/>
              </w:rPr>
              <w:t xml:space="preserve"> objectives </w:t>
            </w:r>
          </w:p>
          <w:p w:rsidR="00323417" w:rsidRPr="000711B1" w:rsidRDefault="00323417" w:rsidP="006C7A6B">
            <w:pPr>
              <w:numPr>
                <w:ilvl w:val="0"/>
                <w:numId w:val="31"/>
              </w:numPr>
              <w:spacing w:before="100" w:beforeAutospacing="1" w:after="100" w:afterAutospacing="1"/>
              <w:rPr>
                <w:rFonts w:ascii="Arial" w:hAnsi="Arial" w:cs="Arial"/>
                <w:lang w:eastAsia="en-GB"/>
              </w:rPr>
            </w:pPr>
            <w:r w:rsidRPr="000711B1">
              <w:rPr>
                <w:rFonts w:ascii="Arial" w:hAnsi="Arial" w:cs="Arial"/>
                <w:lang w:eastAsia="en-GB"/>
              </w:rPr>
              <w:t xml:space="preserve">set out the absolute and comparative costs of delivering specific services </w:t>
            </w:r>
          </w:p>
          <w:p w:rsidR="00323417" w:rsidRPr="004E1BC5" w:rsidRDefault="00323417" w:rsidP="006C7A6B">
            <w:pPr>
              <w:pStyle w:val="ListParagraph"/>
              <w:numPr>
                <w:ilvl w:val="0"/>
                <w:numId w:val="31"/>
              </w:numPr>
              <w:spacing w:before="100" w:beforeAutospacing="1" w:after="100" w:afterAutospacing="1"/>
              <w:rPr>
                <w:rFonts w:ascii="Arial" w:hAnsi="Arial" w:cs="Arial"/>
                <w:color w:val="FF0000"/>
              </w:rPr>
            </w:pPr>
            <w:r w:rsidRPr="00323417">
              <w:rPr>
                <w:rFonts w:ascii="Arial" w:hAnsi="Arial" w:cs="Arial"/>
                <w:lang w:eastAsia="en-GB"/>
              </w:rPr>
              <w:t>evidence the value for money gains that have been and will be made and how these have and will be released over time.</w:t>
            </w:r>
          </w:p>
        </w:tc>
      </w:tr>
      <w:tr w:rsidR="00401BE6" w:rsidRPr="007C4B1F" w:rsidTr="004860DD">
        <w:trPr>
          <w:trHeight w:val="454"/>
        </w:trPr>
        <w:tc>
          <w:tcPr>
            <w:tcW w:w="14029" w:type="dxa"/>
            <w:gridSpan w:val="2"/>
            <w:shd w:val="clear" w:color="auto" w:fill="165788"/>
            <w:vAlign w:val="center"/>
          </w:tcPr>
          <w:p w:rsidR="00401BE6" w:rsidRPr="007D14D9" w:rsidRDefault="00401BE6" w:rsidP="000C2D93">
            <w:pPr>
              <w:autoSpaceDE w:val="0"/>
              <w:autoSpaceDN w:val="0"/>
              <w:adjustRightInd w:val="0"/>
              <w:rPr>
                <w:rFonts w:ascii="Arial" w:hAnsi="Arial" w:cs="Arial"/>
                <w:b/>
                <w:color w:val="FFFFFF" w:themeColor="background1"/>
              </w:rPr>
            </w:pPr>
            <w:r w:rsidRPr="007D14D9">
              <w:rPr>
                <w:rFonts w:ascii="Arial" w:hAnsi="Arial" w:cs="Arial"/>
                <w:b/>
                <w:color w:val="FFFFFF" w:themeColor="background1"/>
              </w:rPr>
              <w:t>Bdht Compliance Position</w:t>
            </w:r>
            <w:r w:rsidR="000C2D93" w:rsidRPr="007D14D9">
              <w:rPr>
                <w:rFonts w:ascii="Arial" w:hAnsi="Arial" w:cs="Arial"/>
                <w:b/>
                <w:color w:val="FFFFFF" w:themeColor="background1"/>
              </w:rPr>
              <w:t xml:space="preserve"> - Compliant</w:t>
            </w:r>
          </w:p>
        </w:tc>
      </w:tr>
      <w:tr w:rsidR="00323417" w:rsidRPr="007C4B1F" w:rsidTr="004860DD">
        <w:tc>
          <w:tcPr>
            <w:tcW w:w="14029" w:type="dxa"/>
            <w:gridSpan w:val="2"/>
            <w:shd w:val="clear" w:color="auto" w:fill="auto"/>
          </w:tcPr>
          <w:p w:rsidR="003141E2" w:rsidRDefault="003141E2" w:rsidP="007B474F">
            <w:pPr>
              <w:rPr>
                <w:rFonts w:ascii="Arial" w:hAnsi="Arial" w:cs="Arial"/>
                <w:color w:val="165788"/>
              </w:rPr>
            </w:pPr>
            <w:r w:rsidRPr="007D14D9">
              <w:rPr>
                <w:rFonts w:ascii="Arial" w:hAnsi="Arial" w:cs="Arial"/>
                <w:color w:val="165788"/>
              </w:rPr>
              <w:t>The bdht Value for Money strategy provides the framework for the comprehensive delivery, monitoring and reporting of VfM by bdht.</w:t>
            </w:r>
          </w:p>
          <w:p w:rsidR="005B184D" w:rsidRPr="007D14D9" w:rsidRDefault="005B184D" w:rsidP="007B474F">
            <w:pPr>
              <w:rPr>
                <w:rFonts w:ascii="Arial" w:hAnsi="Arial" w:cs="Arial"/>
                <w:color w:val="165788"/>
              </w:rPr>
            </w:pPr>
          </w:p>
          <w:p w:rsidR="003141E2" w:rsidRPr="007D14D9" w:rsidRDefault="00EE2819" w:rsidP="003141E2">
            <w:pPr>
              <w:rPr>
                <w:rFonts w:ascii="Arial" w:hAnsi="Arial" w:cs="Arial"/>
                <w:color w:val="165788"/>
              </w:rPr>
            </w:pPr>
            <w:r w:rsidRPr="007D14D9">
              <w:rPr>
                <w:rFonts w:ascii="Arial" w:hAnsi="Arial" w:cs="Arial"/>
                <w:color w:val="165788"/>
              </w:rPr>
              <w:t>Bi-a</w:t>
            </w:r>
            <w:r w:rsidR="006C7A6B" w:rsidRPr="007D14D9">
              <w:rPr>
                <w:rFonts w:ascii="Arial" w:hAnsi="Arial" w:cs="Arial"/>
                <w:color w:val="165788"/>
              </w:rPr>
              <w:t>nnual reviews of t</w:t>
            </w:r>
            <w:r w:rsidR="003141E2" w:rsidRPr="007D14D9">
              <w:rPr>
                <w:rFonts w:ascii="Arial" w:hAnsi="Arial" w:cs="Arial"/>
                <w:color w:val="165788"/>
              </w:rPr>
              <w:t xml:space="preserve">he </w:t>
            </w:r>
            <w:r w:rsidR="006C7A6B" w:rsidRPr="007D14D9">
              <w:rPr>
                <w:rFonts w:ascii="Arial" w:hAnsi="Arial" w:cs="Arial"/>
                <w:color w:val="165788"/>
              </w:rPr>
              <w:t xml:space="preserve">VfM </w:t>
            </w:r>
            <w:r w:rsidR="003141E2" w:rsidRPr="007D14D9">
              <w:rPr>
                <w:rFonts w:ascii="Arial" w:hAnsi="Arial" w:cs="Arial"/>
                <w:color w:val="165788"/>
              </w:rPr>
              <w:t xml:space="preserve">Strategy </w:t>
            </w:r>
            <w:r w:rsidR="006C7A6B" w:rsidRPr="007D14D9">
              <w:rPr>
                <w:rFonts w:ascii="Arial" w:hAnsi="Arial" w:cs="Arial"/>
                <w:color w:val="165788"/>
              </w:rPr>
              <w:t>have strengthened</w:t>
            </w:r>
            <w:r w:rsidR="003141E2" w:rsidRPr="007D14D9">
              <w:rPr>
                <w:rFonts w:ascii="Arial" w:hAnsi="Arial" w:cs="Arial"/>
                <w:color w:val="165788"/>
              </w:rPr>
              <w:t xml:space="preserve"> the emphasis on</w:t>
            </w:r>
            <w:r w:rsidR="006C7A6B" w:rsidRPr="007D14D9">
              <w:rPr>
                <w:rFonts w:ascii="Arial" w:hAnsi="Arial" w:cs="Arial"/>
                <w:color w:val="165788"/>
              </w:rPr>
              <w:t>:</w:t>
            </w:r>
          </w:p>
          <w:p w:rsidR="003141E2" w:rsidRPr="007D14D9" w:rsidRDefault="003141E2" w:rsidP="003141E2">
            <w:pPr>
              <w:rPr>
                <w:rFonts w:ascii="Arial" w:hAnsi="Arial" w:cs="Arial"/>
                <w:color w:val="165788"/>
              </w:rPr>
            </w:pPr>
          </w:p>
          <w:p w:rsidR="003141E2" w:rsidRPr="007D14D9" w:rsidRDefault="006C7A6B" w:rsidP="00896CA9">
            <w:pPr>
              <w:pStyle w:val="ListParagraph"/>
              <w:numPr>
                <w:ilvl w:val="0"/>
                <w:numId w:val="8"/>
              </w:numPr>
              <w:ind w:left="454" w:hanging="425"/>
              <w:rPr>
                <w:rFonts w:ascii="Arial" w:hAnsi="Arial" w:cs="Arial"/>
                <w:color w:val="165788"/>
              </w:rPr>
            </w:pPr>
            <w:r w:rsidRPr="007D14D9">
              <w:rPr>
                <w:rFonts w:ascii="Arial" w:hAnsi="Arial" w:cs="Arial"/>
                <w:color w:val="165788"/>
              </w:rPr>
              <w:t>D</w:t>
            </w:r>
            <w:r w:rsidR="003141E2" w:rsidRPr="007D14D9">
              <w:rPr>
                <w:rFonts w:ascii="Arial" w:hAnsi="Arial" w:cs="Arial"/>
                <w:color w:val="165788"/>
              </w:rPr>
              <w:t>emonstrati</w:t>
            </w:r>
            <w:r w:rsidRPr="007D14D9">
              <w:rPr>
                <w:rFonts w:ascii="Arial" w:hAnsi="Arial" w:cs="Arial"/>
                <w:color w:val="165788"/>
              </w:rPr>
              <w:t>ng</w:t>
            </w:r>
            <w:r w:rsidR="003141E2" w:rsidRPr="007D14D9">
              <w:rPr>
                <w:rFonts w:ascii="Arial" w:hAnsi="Arial" w:cs="Arial"/>
                <w:color w:val="165788"/>
              </w:rPr>
              <w:t xml:space="preserve"> greater understanding of the return on assets;</w:t>
            </w:r>
          </w:p>
          <w:p w:rsidR="003141E2" w:rsidRPr="007D14D9" w:rsidRDefault="003141E2" w:rsidP="00896CA9">
            <w:pPr>
              <w:pStyle w:val="ListParagraph"/>
              <w:numPr>
                <w:ilvl w:val="0"/>
                <w:numId w:val="8"/>
              </w:numPr>
              <w:ind w:left="454" w:hanging="425"/>
              <w:rPr>
                <w:rFonts w:ascii="Arial" w:hAnsi="Arial" w:cs="Arial"/>
                <w:color w:val="165788"/>
              </w:rPr>
            </w:pPr>
            <w:r w:rsidRPr="007D14D9">
              <w:rPr>
                <w:rFonts w:ascii="Arial" w:hAnsi="Arial" w:cs="Arial"/>
                <w:color w:val="165788"/>
              </w:rPr>
              <w:t>Increasing scrutiny of VfM by the Tenant Panel through the development of a Tenant Panel Enquiry into VfM;</w:t>
            </w:r>
          </w:p>
          <w:p w:rsidR="003141E2" w:rsidRPr="007D14D9" w:rsidRDefault="003141E2" w:rsidP="00896CA9">
            <w:pPr>
              <w:pStyle w:val="ListParagraph"/>
              <w:numPr>
                <w:ilvl w:val="0"/>
                <w:numId w:val="8"/>
              </w:numPr>
              <w:ind w:left="454" w:hanging="425"/>
              <w:rPr>
                <w:rFonts w:ascii="Arial" w:hAnsi="Arial" w:cs="Arial"/>
                <w:b/>
                <w:color w:val="165788"/>
                <w:u w:val="single"/>
              </w:rPr>
            </w:pPr>
            <w:r w:rsidRPr="007D14D9">
              <w:rPr>
                <w:rFonts w:ascii="Arial" w:hAnsi="Arial" w:cs="Arial"/>
                <w:color w:val="165788"/>
              </w:rPr>
              <w:t>Social and environmental returns.</w:t>
            </w:r>
          </w:p>
          <w:p w:rsidR="003141E2" w:rsidRPr="007D14D9" w:rsidRDefault="003141E2" w:rsidP="00784F2B">
            <w:pPr>
              <w:ind w:left="393" w:hanging="393"/>
              <w:rPr>
                <w:rFonts w:ascii="Arial" w:hAnsi="Arial" w:cs="Arial"/>
                <w:b/>
                <w:color w:val="165788"/>
                <w:u w:val="single"/>
              </w:rPr>
            </w:pPr>
          </w:p>
          <w:p w:rsidR="00A50946" w:rsidRDefault="00A50946" w:rsidP="00A50946">
            <w:pPr>
              <w:rPr>
                <w:rFonts w:ascii="Arial" w:hAnsi="Arial" w:cs="Arial"/>
                <w:color w:val="165788"/>
              </w:rPr>
            </w:pPr>
            <w:r w:rsidRPr="007D14D9">
              <w:rPr>
                <w:rFonts w:ascii="Arial" w:hAnsi="Arial" w:cs="Arial"/>
                <w:color w:val="165788"/>
              </w:rPr>
              <w:t>The latest review</w:t>
            </w:r>
            <w:r w:rsidR="004123CF" w:rsidRPr="007D14D9">
              <w:rPr>
                <w:rFonts w:ascii="Arial" w:hAnsi="Arial" w:cs="Arial"/>
                <w:color w:val="165788"/>
              </w:rPr>
              <w:t xml:space="preserve"> of the bdht approach to value for money and VFM strategy was undertaken</w:t>
            </w:r>
            <w:r w:rsidRPr="007D14D9">
              <w:rPr>
                <w:rFonts w:ascii="Arial" w:hAnsi="Arial" w:cs="Arial"/>
                <w:color w:val="165788"/>
              </w:rPr>
              <w:t xml:space="preserve"> by the Compliance Committee in November 201</w:t>
            </w:r>
            <w:r w:rsidR="007D14D9" w:rsidRPr="007D14D9">
              <w:rPr>
                <w:rFonts w:ascii="Arial" w:hAnsi="Arial" w:cs="Arial"/>
                <w:color w:val="165788"/>
              </w:rPr>
              <w:t>6</w:t>
            </w:r>
            <w:r w:rsidRPr="007D14D9">
              <w:rPr>
                <w:rFonts w:ascii="Arial" w:hAnsi="Arial" w:cs="Arial"/>
                <w:color w:val="165788"/>
              </w:rPr>
              <w:t xml:space="preserve">, </w:t>
            </w:r>
            <w:r w:rsidR="004123CF" w:rsidRPr="007D14D9">
              <w:rPr>
                <w:rFonts w:ascii="Arial" w:hAnsi="Arial" w:cs="Arial"/>
                <w:color w:val="165788"/>
              </w:rPr>
              <w:t xml:space="preserve">this included reference to the Unit Cost Analysis published by the </w:t>
            </w:r>
            <w:r w:rsidR="007D14D9" w:rsidRPr="007D14D9">
              <w:rPr>
                <w:rFonts w:ascii="Arial" w:hAnsi="Arial" w:cs="Arial"/>
                <w:color w:val="165788"/>
              </w:rPr>
              <w:t>Regulator</w:t>
            </w:r>
            <w:r w:rsidR="004123CF" w:rsidRPr="007D14D9">
              <w:rPr>
                <w:rFonts w:ascii="Arial" w:hAnsi="Arial" w:cs="Arial"/>
                <w:color w:val="165788"/>
              </w:rPr>
              <w:t xml:space="preserve"> and emphasised the bdht cost reduction programme 2016 -2020, unit cost benchmarking, procurement review, enhanced understanding of return on assets and optimisation of returns and efficiencies to be delivered through Shaping the Future programme (focus on customer digital self-service and efficiency gains through enhanced technology)</w:t>
            </w:r>
            <w:r w:rsidRPr="007D14D9">
              <w:rPr>
                <w:rFonts w:ascii="Arial" w:hAnsi="Arial" w:cs="Arial"/>
                <w:color w:val="165788"/>
              </w:rPr>
              <w:t>.</w:t>
            </w:r>
          </w:p>
          <w:p w:rsidR="00E34FEA" w:rsidRDefault="00E34FEA" w:rsidP="00A50946">
            <w:pPr>
              <w:rPr>
                <w:rFonts w:ascii="Arial" w:hAnsi="Arial" w:cs="Arial"/>
                <w:color w:val="165788"/>
              </w:rPr>
            </w:pPr>
          </w:p>
          <w:p w:rsidR="00E34FEA" w:rsidRPr="00E34FEA" w:rsidRDefault="00E34FEA" w:rsidP="00A50946">
            <w:pPr>
              <w:rPr>
                <w:rFonts w:ascii="Arial" w:hAnsi="Arial" w:cs="Arial"/>
                <w:color w:val="165788"/>
              </w:rPr>
            </w:pPr>
            <w:r w:rsidRPr="00E34FEA">
              <w:rPr>
                <w:rFonts w:ascii="Arial" w:hAnsi="Arial" w:cs="Arial"/>
                <w:color w:val="1F497D"/>
              </w:rPr>
              <w:t>In addition to the full bi-annual strategic review the approach is also considered on an annual basis by Compliance Committee along with an action plan and this was done in November 2017, including a suggested revised approach taking into account the new Standard.</w:t>
            </w:r>
          </w:p>
          <w:p w:rsidR="004123CF" w:rsidRPr="007D14D9" w:rsidRDefault="004123CF" w:rsidP="00A50946">
            <w:pPr>
              <w:rPr>
                <w:rFonts w:ascii="Arial" w:hAnsi="Arial" w:cs="Arial"/>
                <w:color w:val="165788"/>
              </w:rPr>
            </w:pPr>
          </w:p>
          <w:p w:rsidR="004123CF" w:rsidRPr="007D14D9" w:rsidRDefault="004123CF" w:rsidP="00A50946">
            <w:pPr>
              <w:rPr>
                <w:rFonts w:ascii="Arial" w:hAnsi="Arial" w:cs="Arial"/>
                <w:b/>
                <w:color w:val="165788"/>
                <w:u w:val="single"/>
              </w:rPr>
            </w:pPr>
            <w:r w:rsidRPr="007D14D9">
              <w:rPr>
                <w:rFonts w:ascii="Arial" w:hAnsi="Arial" w:cs="Arial"/>
                <w:color w:val="165788"/>
              </w:rPr>
              <w:t xml:space="preserve">A detailed report </w:t>
            </w:r>
            <w:r w:rsidR="00117989" w:rsidRPr="007D14D9">
              <w:rPr>
                <w:rFonts w:ascii="Arial" w:hAnsi="Arial" w:cs="Arial"/>
                <w:color w:val="165788"/>
              </w:rPr>
              <w:t xml:space="preserve">providing an update on </w:t>
            </w:r>
            <w:r w:rsidR="007D14D9" w:rsidRPr="007D14D9">
              <w:rPr>
                <w:rFonts w:ascii="Arial" w:hAnsi="Arial" w:cs="Arial"/>
                <w:color w:val="165788"/>
              </w:rPr>
              <w:t xml:space="preserve">performance in delivering value for money during 2017/18 was </w:t>
            </w:r>
            <w:r w:rsidR="00117989" w:rsidRPr="007D14D9">
              <w:rPr>
                <w:rFonts w:ascii="Arial" w:hAnsi="Arial" w:cs="Arial"/>
                <w:color w:val="165788"/>
              </w:rPr>
              <w:t xml:space="preserve">considered by the Compliance Committee in </w:t>
            </w:r>
            <w:r w:rsidR="007D14D9" w:rsidRPr="007D14D9">
              <w:rPr>
                <w:rFonts w:ascii="Arial" w:hAnsi="Arial" w:cs="Arial"/>
                <w:color w:val="165788"/>
              </w:rPr>
              <w:t>April 2018.</w:t>
            </w:r>
          </w:p>
          <w:p w:rsidR="00A50946" w:rsidRPr="007D187B" w:rsidRDefault="00A50946" w:rsidP="00784F2B">
            <w:pPr>
              <w:ind w:left="393" w:hanging="393"/>
              <w:rPr>
                <w:rFonts w:ascii="Arial" w:hAnsi="Arial" w:cs="Arial"/>
                <w:b/>
                <w:color w:val="42145F"/>
                <w:u w:val="single"/>
              </w:rPr>
            </w:pPr>
          </w:p>
          <w:p w:rsidR="002C1F97" w:rsidRPr="007D14D9" w:rsidRDefault="00912A31" w:rsidP="007C0F6F">
            <w:pPr>
              <w:ind w:left="393" w:hanging="393"/>
              <w:rPr>
                <w:rFonts w:ascii="Arial" w:hAnsi="Arial" w:cs="Arial"/>
                <w:b/>
                <w:color w:val="165788"/>
              </w:rPr>
            </w:pPr>
            <w:r w:rsidRPr="007D14D9">
              <w:rPr>
                <w:rFonts w:ascii="Arial" w:hAnsi="Arial" w:cs="Arial"/>
                <w:b/>
                <w:color w:val="165788"/>
              </w:rPr>
              <w:t>2</w:t>
            </w:r>
            <w:r w:rsidR="00E363B4" w:rsidRPr="007D14D9">
              <w:rPr>
                <w:rFonts w:ascii="Arial" w:hAnsi="Arial" w:cs="Arial"/>
                <w:b/>
                <w:color w:val="165788"/>
              </w:rPr>
              <w:t>.1</w:t>
            </w:r>
            <w:r w:rsidRPr="007D14D9">
              <w:rPr>
                <w:rFonts w:ascii="Arial" w:hAnsi="Arial" w:cs="Arial"/>
                <w:b/>
                <w:color w:val="165788"/>
              </w:rPr>
              <w:t>a</w:t>
            </w:r>
            <w:r w:rsidR="007C0F6F" w:rsidRPr="007D14D9">
              <w:rPr>
                <w:rFonts w:ascii="Arial" w:hAnsi="Arial" w:cs="Arial"/>
                <w:b/>
                <w:color w:val="165788"/>
              </w:rPr>
              <w:t xml:space="preserve">: </w:t>
            </w:r>
            <w:r w:rsidR="002C1F97" w:rsidRPr="007D14D9">
              <w:rPr>
                <w:rFonts w:ascii="Arial" w:hAnsi="Arial" w:cs="Arial"/>
                <w:b/>
                <w:color w:val="165788"/>
              </w:rPr>
              <w:t>Making decisions on the use of resources</w:t>
            </w:r>
          </w:p>
          <w:p w:rsidR="00A50946" w:rsidRPr="007D14D9" w:rsidRDefault="00A50946" w:rsidP="002C1F97">
            <w:pPr>
              <w:rPr>
                <w:rFonts w:ascii="Arial" w:hAnsi="Arial" w:cs="Arial"/>
                <w:b/>
                <w:color w:val="165788"/>
              </w:rPr>
            </w:pPr>
          </w:p>
          <w:p w:rsidR="00A50946" w:rsidRPr="007D14D9" w:rsidRDefault="00803BBF" w:rsidP="002C1F97">
            <w:pPr>
              <w:rPr>
                <w:rFonts w:ascii="Arial" w:hAnsi="Arial" w:cs="Arial"/>
                <w:b/>
                <w:color w:val="165788"/>
              </w:rPr>
            </w:pPr>
            <w:r w:rsidRPr="007D14D9">
              <w:rPr>
                <w:rFonts w:ascii="Arial" w:hAnsi="Arial" w:cs="Arial"/>
                <w:color w:val="165788"/>
              </w:rPr>
              <w:t>From strategic planning events and discussions at Board meetings, the Board approve responses to specific business challenges. These strategic discussions are aligned to the annual review of the Business Plan and Budget setting process to e</w:t>
            </w:r>
            <w:r w:rsidR="007C0F6F" w:rsidRPr="007D14D9">
              <w:rPr>
                <w:rFonts w:ascii="Arial" w:hAnsi="Arial" w:cs="Arial"/>
                <w:color w:val="165788"/>
              </w:rPr>
              <w:t>nsure that business priorities are fully resourced to deliver outcomes set out by the Board.</w:t>
            </w:r>
          </w:p>
          <w:p w:rsidR="002C1F97" w:rsidRPr="007D14D9" w:rsidRDefault="002C1F97" w:rsidP="002C1F97">
            <w:pPr>
              <w:rPr>
                <w:rFonts w:ascii="Arial" w:hAnsi="Arial" w:cs="Arial"/>
                <w:color w:val="165788"/>
              </w:rPr>
            </w:pPr>
          </w:p>
          <w:p w:rsidR="002C1F97" w:rsidRPr="007D14D9" w:rsidRDefault="002C1F97" w:rsidP="002C1F97">
            <w:pPr>
              <w:rPr>
                <w:rFonts w:ascii="Arial" w:hAnsi="Arial" w:cs="Arial"/>
                <w:color w:val="165788"/>
              </w:rPr>
            </w:pPr>
            <w:r w:rsidRPr="007D14D9">
              <w:rPr>
                <w:rFonts w:ascii="Arial" w:hAnsi="Arial" w:cs="Arial"/>
                <w:color w:val="165788"/>
              </w:rPr>
              <w:t>The Budget setting process includes a rigorous appraisal by the Executive Management Team which includes an assessment of the merits of each budget proposal based on the delivery of corporate priorities within the overall budget</w:t>
            </w:r>
            <w:r w:rsidR="00770850" w:rsidRPr="007D14D9">
              <w:rPr>
                <w:rFonts w:ascii="Arial" w:hAnsi="Arial" w:cs="Arial"/>
                <w:color w:val="165788"/>
              </w:rPr>
              <w:t xml:space="preserve"> agreed by Board</w:t>
            </w:r>
            <w:r w:rsidRPr="007D14D9">
              <w:rPr>
                <w:rFonts w:ascii="Arial" w:hAnsi="Arial" w:cs="Arial"/>
                <w:color w:val="165788"/>
              </w:rPr>
              <w:t>.</w:t>
            </w:r>
          </w:p>
          <w:p w:rsidR="00117989" w:rsidRPr="00387A98" w:rsidRDefault="00117989" w:rsidP="002C1F97">
            <w:pPr>
              <w:rPr>
                <w:rFonts w:ascii="Arial" w:hAnsi="Arial" w:cs="Arial"/>
                <w:color w:val="009B3A"/>
              </w:rPr>
            </w:pPr>
          </w:p>
          <w:p w:rsidR="00117989" w:rsidRPr="007D14D9" w:rsidRDefault="00117989" w:rsidP="002C1F97">
            <w:pPr>
              <w:rPr>
                <w:rFonts w:ascii="Arial" w:hAnsi="Arial" w:cs="Arial"/>
                <w:color w:val="165788"/>
              </w:rPr>
            </w:pPr>
            <w:r w:rsidRPr="007D14D9">
              <w:rPr>
                <w:rFonts w:ascii="Arial" w:hAnsi="Arial" w:cs="Arial"/>
                <w:color w:val="165788"/>
              </w:rPr>
              <w:t>The Board have set annual revenue cost reduction targets for 2016/17 – 2019/20</w:t>
            </w:r>
            <w:r w:rsidR="00387A98" w:rsidRPr="007D14D9">
              <w:rPr>
                <w:rFonts w:ascii="Arial" w:hAnsi="Arial" w:cs="Arial"/>
                <w:color w:val="165788"/>
              </w:rPr>
              <w:t xml:space="preserve"> to be achieved without an impact on front line service delivery. Revenue c</w:t>
            </w:r>
            <w:r w:rsidRPr="007D14D9">
              <w:rPr>
                <w:rFonts w:ascii="Arial" w:hAnsi="Arial" w:cs="Arial"/>
                <w:color w:val="165788"/>
              </w:rPr>
              <w:t xml:space="preserve">ost reductions achieved </w:t>
            </w:r>
            <w:r w:rsidR="00387A98" w:rsidRPr="007D14D9">
              <w:rPr>
                <w:rFonts w:ascii="Arial" w:hAnsi="Arial" w:cs="Arial"/>
                <w:color w:val="165788"/>
              </w:rPr>
              <w:t>against target are:</w:t>
            </w:r>
          </w:p>
          <w:tbl>
            <w:tblPr>
              <w:tblStyle w:val="TableGrid"/>
              <w:tblW w:w="0" w:type="auto"/>
              <w:tblBorders>
                <w:top w:val="single" w:sz="4" w:space="0" w:color="165788"/>
                <w:left w:val="single" w:sz="4" w:space="0" w:color="165788"/>
                <w:bottom w:val="single" w:sz="4" w:space="0" w:color="165788"/>
                <w:right w:val="single" w:sz="4" w:space="0" w:color="165788"/>
                <w:insideH w:val="single" w:sz="4" w:space="0" w:color="165788"/>
                <w:insideV w:val="single" w:sz="4" w:space="0" w:color="165788"/>
              </w:tblBorders>
              <w:tblLayout w:type="fixed"/>
              <w:tblLook w:val="04A0" w:firstRow="1" w:lastRow="0" w:firstColumn="1" w:lastColumn="0" w:noHBand="0" w:noVBand="1"/>
            </w:tblPr>
            <w:tblGrid>
              <w:gridCol w:w="3851"/>
              <w:gridCol w:w="3119"/>
              <w:gridCol w:w="2921"/>
            </w:tblGrid>
            <w:tr w:rsidR="007D14D9" w:rsidRPr="007D14D9" w:rsidTr="00BC1894">
              <w:trPr>
                <w:trHeight w:val="402"/>
              </w:trPr>
              <w:tc>
                <w:tcPr>
                  <w:tcW w:w="3851" w:type="dxa"/>
                  <w:tcBorders>
                    <w:right w:val="single" w:sz="4" w:space="0" w:color="FFFFFF" w:themeColor="background1"/>
                  </w:tcBorders>
                  <w:shd w:val="clear" w:color="auto" w:fill="165788"/>
                </w:tcPr>
                <w:p w:rsidR="00387A98" w:rsidRPr="00BC1894" w:rsidRDefault="00387A98" w:rsidP="002C1F97">
                  <w:pPr>
                    <w:rPr>
                      <w:rFonts w:ascii="Arial" w:hAnsi="Arial" w:cs="Arial"/>
                      <w:color w:val="FFFFFF" w:themeColor="background1"/>
                    </w:rPr>
                  </w:pPr>
                </w:p>
              </w:tc>
              <w:tc>
                <w:tcPr>
                  <w:tcW w:w="3119" w:type="dxa"/>
                  <w:tcBorders>
                    <w:left w:val="single" w:sz="4" w:space="0" w:color="FFFFFF" w:themeColor="background1"/>
                    <w:right w:val="single" w:sz="4" w:space="0" w:color="FFFFFF" w:themeColor="background1"/>
                  </w:tcBorders>
                  <w:shd w:val="clear" w:color="auto" w:fill="165788"/>
                </w:tcPr>
                <w:p w:rsidR="00387A98" w:rsidRPr="00BC1894" w:rsidRDefault="00387A98" w:rsidP="00387A98">
                  <w:pPr>
                    <w:jc w:val="center"/>
                    <w:rPr>
                      <w:rFonts w:ascii="Arial" w:hAnsi="Arial" w:cs="Arial"/>
                      <w:b/>
                      <w:color w:val="FFFFFF" w:themeColor="background1"/>
                    </w:rPr>
                  </w:pPr>
                  <w:r w:rsidRPr="00BC1894">
                    <w:rPr>
                      <w:rFonts w:ascii="Arial" w:hAnsi="Arial" w:cs="Arial"/>
                      <w:b/>
                      <w:color w:val="FFFFFF" w:themeColor="background1"/>
                    </w:rPr>
                    <w:t>Target</w:t>
                  </w:r>
                </w:p>
              </w:tc>
              <w:tc>
                <w:tcPr>
                  <w:tcW w:w="2921" w:type="dxa"/>
                  <w:tcBorders>
                    <w:left w:val="single" w:sz="4" w:space="0" w:color="FFFFFF" w:themeColor="background1"/>
                  </w:tcBorders>
                  <w:shd w:val="clear" w:color="auto" w:fill="165788"/>
                </w:tcPr>
                <w:p w:rsidR="00387A98" w:rsidRPr="00BC1894" w:rsidRDefault="00387A98" w:rsidP="00387A98">
                  <w:pPr>
                    <w:jc w:val="center"/>
                    <w:rPr>
                      <w:rFonts w:ascii="Arial" w:hAnsi="Arial" w:cs="Arial"/>
                      <w:b/>
                      <w:color w:val="FFFFFF" w:themeColor="background1"/>
                    </w:rPr>
                  </w:pPr>
                  <w:r w:rsidRPr="00BC1894">
                    <w:rPr>
                      <w:rFonts w:ascii="Arial" w:hAnsi="Arial" w:cs="Arial"/>
                      <w:b/>
                      <w:color w:val="FFFFFF" w:themeColor="background1"/>
                    </w:rPr>
                    <w:t>Achieved</w:t>
                  </w:r>
                </w:p>
              </w:tc>
            </w:tr>
            <w:tr w:rsidR="007D14D9" w:rsidRPr="007D14D9" w:rsidTr="007D14D9">
              <w:tc>
                <w:tcPr>
                  <w:tcW w:w="3851" w:type="dxa"/>
                </w:tcPr>
                <w:p w:rsidR="00387A98" w:rsidRPr="007D14D9" w:rsidRDefault="00387A98" w:rsidP="002C1F97">
                  <w:pPr>
                    <w:rPr>
                      <w:rFonts w:ascii="Arial" w:hAnsi="Arial" w:cs="Arial"/>
                      <w:b/>
                      <w:color w:val="165788"/>
                    </w:rPr>
                  </w:pPr>
                  <w:r w:rsidRPr="007D14D9">
                    <w:rPr>
                      <w:rFonts w:ascii="Arial" w:hAnsi="Arial" w:cs="Arial"/>
                      <w:b/>
                      <w:color w:val="165788"/>
                    </w:rPr>
                    <w:t>Revenue Cost Savings 2016/17</w:t>
                  </w:r>
                </w:p>
              </w:tc>
              <w:tc>
                <w:tcPr>
                  <w:tcW w:w="3119" w:type="dxa"/>
                </w:tcPr>
                <w:p w:rsidR="00387A98" w:rsidRPr="007D14D9" w:rsidRDefault="00387A98" w:rsidP="00387A98">
                  <w:pPr>
                    <w:jc w:val="center"/>
                    <w:rPr>
                      <w:rFonts w:ascii="Arial" w:hAnsi="Arial" w:cs="Arial"/>
                      <w:color w:val="165788"/>
                    </w:rPr>
                  </w:pPr>
                  <w:r w:rsidRPr="007D14D9">
                    <w:rPr>
                      <w:rFonts w:ascii="Arial" w:hAnsi="Arial" w:cs="Arial"/>
                      <w:color w:val="165788"/>
                    </w:rPr>
                    <w:t>=&gt;£200,000</w:t>
                  </w:r>
                </w:p>
              </w:tc>
              <w:tc>
                <w:tcPr>
                  <w:tcW w:w="2921" w:type="dxa"/>
                </w:tcPr>
                <w:p w:rsidR="00387A98" w:rsidRPr="007D14D9" w:rsidRDefault="00387A98" w:rsidP="00387A98">
                  <w:pPr>
                    <w:jc w:val="center"/>
                    <w:rPr>
                      <w:rFonts w:ascii="Arial" w:hAnsi="Arial" w:cs="Arial"/>
                      <w:color w:val="165788"/>
                    </w:rPr>
                  </w:pPr>
                  <w:r w:rsidRPr="007D14D9">
                    <w:rPr>
                      <w:rFonts w:ascii="Arial" w:hAnsi="Arial" w:cs="Arial"/>
                      <w:color w:val="165788"/>
                    </w:rPr>
                    <w:t>£220,000</w:t>
                  </w:r>
                </w:p>
              </w:tc>
            </w:tr>
            <w:tr w:rsidR="007D14D9" w:rsidRPr="007D14D9" w:rsidTr="007D14D9">
              <w:tc>
                <w:tcPr>
                  <w:tcW w:w="3851" w:type="dxa"/>
                </w:tcPr>
                <w:p w:rsidR="00387A98" w:rsidRPr="007D14D9" w:rsidRDefault="00387A98" w:rsidP="002C1F97">
                  <w:pPr>
                    <w:rPr>
                      <w:rFonts w:ascii="Arial" w:hAnsi="Arial" w:cs="Arial"/>
                      <w:b/>
                      <w:color w:val="165788"/>
                    </w:rPr>
                  </w:pPr>
                  <w:r w:rsidRPr="007D14D9">
                    <w:rPr>
                      <w:rFonts w:ascii="Arial" w:hAnsi="Arial" w:cs="Arial"/>
                      <w:b/>
                      <w:color w:val="165788"/>
                    </w:rPr>
                    <w:t>Revenue Cost Savings 2017/18</w:t>
                  </w:r>
                </w:p>
              </w:tc>
              <w:tc>
                <w:tcPr>
                  <w:tcW w:w="3119" w:type="dxa"/>
                </w:tcPr>
                <w:p w:rsidR="00387A98" w:rsidRPr="007D14D9" w:rsidRDefault="00387A98" w:rsidP="00387A98">
                  <w:pPr>
                    <w:jc w:val="center"/>
                    <w:rPr>
                      <w:rFonts w:ascii="Arial" w:hAnsi="Arial" w:cs="Arial"/>
                      <w:color w:val="165788"/>
                    </w:rPr>
                  </w:pPr>
                  <w:r w:rsidRPr="007D14D9">
                    <w:rPr>
                      <w:rFonts w:ascii="Arial" w:hAnsi="Arial" w:cs="Arial"/>
                      <w:color w:val="165788"/>
                    </w:rPr>
                    <w:t>=&gt;300,000</w:t>
                  </w:r>
                </w:p>
              </w:tc>
              <w:tc>
                <w:tcPr>
                  <w:tcW w:w="2921" w:type="dxa"/>
                </w:tcPr>
                <w:p w:rsidR="00387A98" w:rsidRPr="007D14D9" w:rsidRDefault="00387A98" w:rsidP="007D14D9">
                  <w:pPr>
                    <w:jc w:val="center"/>
                    <w:rPr>
                      <w:rFonts w:ascii="Arial" w:hAnsi="Arial" w:cs="Arial"/>
                      <w:color w:val="165788"/>
                    </w:rPr>
                  </w:pPr>
                  <w:r w:rsidRPr="007D14D9">
                    <w:rPr>
                      <w:rFonts w:ascii="Arial" w:hAnsi="Arial" w:cs="Arial"/>
                      <w:color w:val="165788"/>
                    </w:rPr>
                    <w:t>£3</w:t>
                  </w:r>
                  <w:r w:rsidR="007D14D9" w:rsidRPr="007D14D9">
                    <w:rPr>
                      <w:rFonts w:ascii="Arial" w:hAnsi="Arial" w:cs="Arial"/>
                      <w:color w:val="165788"/>
                    </w:rPr>
                    <w:t>01</w:t>
                  </w:r>
                  <w:r w:rsidRPr="007D14D9">
                    <w:rPr>
                      <w:rFonts w:ascii="Arial" w:hAnsi="Arial" w:cs="Arial"/>
                      <w:color w:val="165788"/>
                    </w:rPr>
                    <w:t>,000</w:t>
                  </w:r>
                </w:p>
              </w:tc>
            </w:tr>
          </w:tbl>
          <w:p w:rsidR="00387A98" w:rsidRDefault="00387A98" w:rsidP="002C1F97">
            <w:pPr>
              <w:rPr>
                <w:rFonts w:ascii="Arial" w:hAnsi="Arial" w:cs="Arial"/>
                <w:color w:val="42145F"/>
              </w:rPr>
            </w:pPr>
          </w:p>
          <w:p w:rsidR="00387A98" w:rsidRPr="007D14D9" w:rsidRDefault="00387A98" w:rsidP="002C1F97">
            <w:pPr>
              <w:rPr>
                <w:rFonts w:ascii="Arial" w:hAnsi="Arial" w:cs="Arial"/>
                <w:color w:val="165788"/>
              </w:rPr>
            </w:pPr>
            <w:r w:rsidRPr="007D14D9">
              <w:rPr>
                <w:rFonts w:ascii="Arial" w:hAnsi="Arial" w:cs="Arial"/>
                <w:color w:val="165788"/>
              </w:rPr>
              <w:t>Performance in delivery of cost reduction targets is monitored by Compliance Committee with the latest annual review in April 201</w:t>
            </w:r>
            <w:r w:rsidR="007D14D9" w:rsidRPr="007D14D9">
              <w:rPr>
                <w:rFonts w:ascii="Arial" w:hAnsi="Arial" w:cs="Arial"/>
                <w:color w:val="165788"/>
              </w:rPr>
              <w:t>8</w:t>
            </w:r>
            <w:r w:rsidRPr="007D14D9">
              <w:rPr>
                <w:rFonts w:ascii="Arial" w:hAnsi="Arial" w:cs="Arial"/>
                <w:color w:val="165788"/>
              </w:rPr>
              <w:t>.</w:t>
            </w:r>
          </w:p>
          <w:p w:rsidR="002C1F97" w:rsidRPr="007D187B" w:rsidRDefault="002C1F97" w:rsidP="002C1F97">
            <w:pPr>
              <w:rPr>
                <w:rFonts w:ascii="Arial" w:hAnsi="Arial" w:cs="Arial"/>
                <w:color w:val="42145F"/>
              </w:rPr>
            </w:pPr>
          </w:p>
          <w:p w:rsidR="002C1F97" w:rsidRPr="007D14D9" w:rsidRDefault="007C0F6F" w:rsidP="002C1F97">
            <w:pPr>
              <w:rPr>
                <w:rFonts w:ascii="Arial" w:hAnsi="Arial" w:cs="Arial"/>
                <w:b/>
                <w:color w:val="165788"/>
              </w:rPr>
            </w:pPr>
            <w:r w:rsidRPr="007D14D9">
              <w:rPr>
                <w:rFonts w:ascii="Arial" w:hAnsi="Arial" w:cs="Arial"/>
                <w:b/>
                <w:color w:val="165788"/>
              </w:rPr>
              <w:t xml:space="preserve">2.1b: </w:t>
            </w:r>
            <w:r w:rsidR="002C1F97" w:rsidRPr="007D14D9">
              <w:rPr>
                <w:rFonts w:ascii="Arial" w:hAnsi="Arial" w:cs="Arial"/>
                <w:b/>
                <w:color w:val="165788"/>
              </w:rPr>
              <w:t>Understanding and maximizing the return on assets</w:t>
            </w:r>
          </w:p>
          <w:p w:rsidR="002C1F97" w:rsidRPr="007D14D9" w:rsidRDefault="002C1F97" w:rsidP="002C1F97">
            <w:pPr>
              <w:rPr>
                <w:rFonts w:ascii="Arial" w:hAnsi="Arial" w:cs="Arial"/>
                <w:color w:val="165788"/>
              </w:rPr>
            </w:pPr>
            <w:r w:rsidRPr="007D14D9">
              <w:rPr>
                <w:rFonts w:ascii="Arial" w:hAnsi="Arial" w:cs="Arial"/>
                <w:color w:val="165788"/>
              </w:rPr>
              <w:t xml:space="preserve">Assets can be divided into physical (largely stock) and operational (largely people) assets. </w:t>
            </w:r>
          </w:p>
          <w:p w:rsidR="002C1F97" w:rsidRPr="007D14D9" w:rsidRDefault="002C1F97" w:rsidP="002C1F97">
            <w:pPr>
              <w:rPr>
                <w:rFonts w:ascii="Arial" w:hAnsi="Arial" w:cs="Arial"/>
                <w:color w:val="165788"/>
              </w:rPr>
            </w:pPr>
          </w:p>
          <w:p w:rsidR="002C1F97" w:rsidRPr="007D14D9" w:rsidRDefault="002C1F97" w:rsidP="002C1F97">
            <w:pPr>
              <w:rPr>
                <w:rFonts w:ascii="Arial" w:hAnsi="Arial" w:cs="Arial"/>
                <w:color w:val="165788"/>
              </w:rPr>
            </w:pPr>
            <w:r w:rsidRPr="007D14D9">
              <w:rPr>
                <w:rFonts w:ascii="Arial" w:hAnsi="Arial" w:cs="Arial"/>
                <w:color w:val="165788"/>
              </w:rPr>
              <w:t xml:space="preserve">bdht has developed a stock disposal strategy (to support the corporate objective to provide more homes for people in need) whereby high value assets are sold to fund future housing developments. This strategy is based on the value of the asset against the ability of that asset to generate income over a given period. </w:t>
            </w:r>
          </w:p>
          <w:p w:rsidR="002C1F97" w:rsidRPr="00387A98" w:rsidRDefault="002C1F97" w:rsidP="002C1F97">
            <w:pPr>
              <w:rPr>
                <w:rFonts w:ascii="Arial" w:hAnsi="Arial" w:cs="Arial"/>
                <w:color w:val="009B3A"/>
              </w:rPr>
            </w:pPr>
          </w:p>
          <w:p w:rsidR="00EA0BFC" w:rsidRPr="0056102A" w:rsidRDefault="00EA0BFC" w:rsidP="002C1F97">
            <w:pPr>
              <w:rPr>
                <w:rFonts w:ascii="Arial" w:hAnsi="Arial" w:cs="Arial"/>
                <w:color w:val="165788"/>
              </w:rPr>
            </w:pPr>
            <w:r w:rsidRPr="0056102A">
              <w:rPr>
                <w:rFonts w:ascii="Arial" w:hAnsi="Arial" w:cs="Arial"/>
                <w:color w:val="165788"/>
              </w:rPr>
              <w:t>In October 2016 Board approved the selective sale of properties with re-investment of receipts into new affordable homes (Making the Most of Our Assets). The Board also agreed a number of areas to make the best use of assets:</w:t>
            </w:r>
          </w:p>
          <w:p w:rsidR="00EA0BFC" w:rsidRPr="0056102A" w:rsidRDefault="00EA0BFC" w:rsidP="00EA0BFC">
            <w:pPr>
              <w:pStyle w:val="ListParagraph"/>
              <w:numPr>
                <w:ilvl w:val="0"/>
                <w:numId w:val="38"/>
              </w:numPr>
              <w:rPr>
                <w:rFonts w:ascii="Arial" w:hAnsi="Arial" w:cs="Arial"/>
                <w:color w:val="165788"/>
              </w:rPr>
            </w:pPr>
            <w:r w:rsidRPr="0056102A">
              <w:rPr>
                <w:rFonts w:ascii="Arial" w:hAnsi="Arial" w:cs="Arial"/>
                <w:color w:val="165788"/>
              </w:rPr>
              <w:t>Ensure all assets contribute to bdht objectives;</w:t>
            </w:r>
          </w:p>
          <w:p w:rsidR="00EA0BFC" w:rsidRPr="0056102A" w:rsidRDefault="00EA0BFC" w:rsidP="00EA0BFC">
            <w:pPr>
              <w:pStyle w:val="ListParagraph"/>
              <w:numPr>
                <w:ilvl w:val="0"/>
                <w:numId w:val="38"/>
              </w:numPr>
              <w:rPr>
                <w:rFonts w:ascii="Arial" w:hAnsi="Arial" w:cs="Arial"/>
                <w:color w:val="165788"/>
              </w:rPr>
            </w:pPr>
            <w:r w:rsidRPr="0056102A">
              <w:rPr>
                <w:rFonts w:ascii="Arial" w:hAnsi="Arial" w:cs="Arial"/>
                <w:color w:val="165788"/>
              </w:rPr>
              <w:t>Understand investment needs of each asset;</w:t>
            </w:r>
          </w:p>
          <w:p w:rsidR="00EA0BFC" w:rsidRPr="0056102A" w:rsidRDefault="00EA0BFC" w:rsidP="00EA0BFC">
            <w:pPr>
              <w:pStyle w:val="ListParagraph"/>
              <w:numPr>
                <w:ilvl w:val="0"/>
                <w:numId w:val="38"/>
              </w:numPr>
              <w:rPr>
                <w:rFonts w:ascii="Arial" w:hAnsi="Arial" w:cs="Arial"/>
                <w:color w:val="165788"/>
              </w:rPr>
            </w:pPr>
            <w:r w:rsidRPr="0056102A">
              <w:rPr>
                <w:rFonts w:ascii="Arial" w:hAnsi="Arial" w:cs="Arial"/>
                <w:color w:val="165788"/>
              </w:rPr>
              <w:t>Clarity about need to retain or dispose of individual assets.</w:t>
            </w:r>
          </w:p>
          <w:p w:rsidR="0056102A" w:rsidRDefault="0056102A" w:rsidP="00EA0BFC">
            <w:pPr>
              <w:ind w:left="67"/>
              <w:rPr>
                <w:rFonts w:ascii="Arial" w:hAnsi="Arial" w:cs="Arial"/>
                <w:color w:val="009B3A"/>
              </w:rPr>
            </w:pPr>
          </w:p>
          <w:p w:rsidR="0056102A" w:rsidRPr="00F81FBF" w:rsidRDefault="0056102A" w:rsidP="00EA0BFC">
            <w:pPr>
              <w:ind w:left="67"/>
              <w:rPr>
                <w:rFonts w:ascii="Arial" w:hAnsi="Arial" w:cs="Arial"/>
                <w:color w:val="009B3A"/>
              </w:rPr>
            </w:pPr>
            <w:r w:rsidRPr="0056102A">
              <w:rPr>
                <w:rFonts w:ascii="Arial" w:hAnsi="Arial" w:cs="Arial"/>
                <w:color w:val="165788"/>
              </w:rPr>
              <w:t xml:space="preserve">During 2017/18 3 properties were disposed of through open market sale. Together with </w:t>
            </w:r>
            <w:r>
              <w:rPr>
                <w:rFonts w:ascii="Arial" w:hAnsi="Arial" w:cs="Arial"/>
                <w:color w:val="165788"/>
              </w:rPr>
              <w:t>11</w:t>
            </w:r>
            <w:r w:rsidRPr="0056102A">
              <w:rPr>
                <w:rFonts w:ascii="Arial" w:hAnsi="Arial" w:cs="Arial"/>
                <w:color w:val="165788"/>
              </w:rPr>
              <w:t xml:space="preserve"> sales under the Protected Right To Buy</w:t>
            </w:r>
            <w:r>
              <w:rPr>
                <w:rFonts w:ascii="Arial" w:hAnsi="Arial" w:cs="Arial"/>
                <w:color w:val="165788"/>
              </w:rPr>
              <w:t xml:space="preserve"> and 1 sale under the Right to Acquire,</w:t>
            </w:r>
            <w:r w:rsidRPr="0056102A">
              <w:rPr>
                <w:rFonts w:ascii="Arial" w:hAnsi="Arial" w:cs="Arial"/>
                <w:color w:val="165788"/>
              </w:rPr>
              <w:t xml:space="preserve"> capital receipts of £1,383,918 were generated for re-investment in new homes.</w:t>
            </w:r>
          </w:p>
          <w:p w:rsidR="000D0E57" w:rsidRPr="007D187B" w:rsidRDefault="000D0E57" w:rsidP="002C1F97">
            <w:pPr>
              <w:rPr>
                <w:rFonts w:ascii="Arial" w:hAnsi="Arial" w:cs="Arial"/>
                <w:color w:val="42145F"/>
              </w:rPr>
            </w:pPr>
          </w:p>
          <w:p w:rsidR="002C1F97" w:rsidRDefault="002C1F97" w:rsidP="002C1F97">
            <w:pPr>
              <w:rPr>
                <w:rFonts w:ascii="Arial" w:hAnsi="Arial" w:cs="Arial"/>
                <w:b/>
                <w:color w:val="165788"/>
                <w:lang w:eastAsia="en-GB"/>
              </w:rPr>
            </w:pPr>
            <w:r w:rsidRPr="0056102A">
              <w:rPr>
                <w:rFonts w:ascii="Arial" w:hAnsi="Arial" w:cs="Arial"/>
                <w:b/>
                <w:color w:val="165788"/>
                <w:lang w:eastAsia="en-GB"/>
              </w:rPr>
              <w:t>Performance management and scrutiny functions</w:t>
            </w:r>
          </w:p>
          <w:p w:rsidR="004C5F6E" w:rsidRPr="0056102A" w:rsidRDefault="004C5F6E" w:rsidP="002C1F97">
            <w:pPr>
              <w:rPr>
                <w:rFonts w:ascii="Arial" w:hAnsi="Arial" w:cs="Arial"/>
                <w:b/>
                <w:color w:val="165788"/>
              </w:rPr>
            </w:pPr>
          </w:p>
          <w:p w:rsidR="0056102A" w:rsidRDefault="007C0F6F" w:rsidP="002C1F97">
            <w:pPr>
              <w:rPr>
                <w:rFonts w:ascii="Arial" w:hAnsi="Arial" w:cs="Arial"/>
                <w:color w:val="165788"/>
              </w:rPr>
            </w:pPr>
            <w:r w:rsidRPr="0056102A">
              <w:rPr>
                <w:rFonts w:ascii="Arial" w:hAnsi="Arial" w:cs="Arial"/>
                <w:color w:val="165788"/>
              </w:rPr>
              <w:t>The</w:t>
            </w:r>
            <w:r w:rsidR="002C1F97" w:rsidRPr="0056102A">
              <w:rPr>
                <w:rFonts w:ascii="Arial" w:hAnsi="Arial" w:cs="Arial"/>
                <w:color w:val="165788"/>
              </w:rPr>
              <w:t xml:space="preserve"> Compliance Committee review in detail performance against VfM</w:t>
            </w:r>
            <w:r w:rsidR="0056102A" w:rsidRPr="0056102A">
              <w:rPr>
                <w:rFonts w:ascii="Arial" w:hAnsi="Arial" w:cs="Arial"/>
                <w:color w:val="165788"/>
              </w:rPr>
              <w:t xml:space="preserve"> </w:t>
            </w:r>
            <w:r w:rsidR="00F20CBA" w:rsidRPr="0056102A">
              <w:rPr>
                <w:rFonts w:ascii="Arial" w:hAnsi="Arial" w:cs="Arial"/>
                <w:color w:val="165788"/>
              </w:rPr>
              <w:t xml:space="preserve">and agree </w:t>
            </w:r>
            <w:r w:rsidR="004C5F6E">
              <w:rPr>
                <w:rFonts w:ascii="Arial" w:hAnsi="Arial" w:cs="Arial"/>
                <w:color w:val="165788"/>
              </w:rPr>
              <w:t xml:space="preserve">a </w:t>
            </w:r>
            <w:r w:rsidR="00F20CBA" w:rsidRPr="0056102A">
              <w:rPr>
                <w:rFonts w:ascii="Arial" w:hAnsi="Arial" w:cs="Arial"/>
                <w:color w:val="165788"/>
              </w:rPr>
              <w:t xml:space="preserve">VfM improvement action plan </w:t>
            </w:r>
            <w:r w:rsidR="002C1F97" w:rsidRPr="0056102A">
              <w:rPr>
                <w:rFonts w:ascii="Arial" w:hAnsi="Arial" w:cs="Arial"/>
                <w:color w:val="165788"/>
              </w:rPr>
              <w:t>on an annual basis.</w:t>
            </w:r>
            <w:r w:rsidR="00F20CBA" w:rsidRPr="0056102A">
              <w:rPr>
                <w:rFonts w:ascii="Arial" w:hAnsi="Arial" w:cs="Arial"/>
                <w:color w:val="165788"/>
              </w:rPr>
              <w:t xml:space="preserve"> </w:t>
            </w:r>
          </w:p>
          <w:p w:rsidR="0056102A" w:rsidRPr="00F81FBF" w:rsidRDefault="0056102A" w:rsidP="002C1F97">
            <w:pPr>
              <w:rPr>
                <w:rFonts w:ascii="Arial" w:hAnsi="Arial" w:cs="Arial"/>
                <w:color w:val="009B3A"/>
              </w:rPr>
            </w:pPr>
          </w:p>
          <w:p w:rsidR="00F20CBA" w:rsidRPr="0056102A" w:rsidRDefault="00F20CBA" w:rsidP="002C1F97">
            <w:pPr>
              <w:rPr>
                <w:rFonts w:ascii="Arial" w:hAnsi="Arial" w:cs="Arial"/>
                <w:color w:val="165788"/>
              </w:rPr>
            </w:pPr>
            <w:r w:rsidRPr="0056102A">
              <w:rPr>
                <w:rFonts w:ascii="Arial" w:hAnsi="Arial" w:cs="Arial"/>
                <w:color w:val="165788"/>
              </w:rPr>
              <w:t xml:space="preserve">The Tenant Panel and Performance &amp; Review Committee </w:t>
            </w:r>
            <w:r w:rsidR="0056102A" w:rsidRPr="0056102A">
              <w:rPr>
                <w:rFonts w:ascii="Arial" w:hAnsi="Arial" w:cs="Arial"/>
                <w:color w:val="165788"/>
              </w:rPr>
              <w:t xml:space="preserve">monitor performance in service delivery including </w:t>
            </w:r>
            <w:r w:rsidRPr="0056102A">
              <w:rPr>
                <w:rFonts w:ascii="Arial" w:hAnsi="Arial" w:cs="Arial"/>
                <w:color w:val="165788"/>
              </w:rPr>
              <w:t>compar</w:t>
            </w:r>
            <w:r w:rsidR="0056102A" w:rsidRPr="0056102A">
              <w:rPr>
                <w:rFonts w:ascii="Arial" w:hAnsi="Arial" w:cs="Arial"/>
                <w:color w:val="165788"/>
              </w:rPr>
              <w:t>ison with</w:t>
            </w:r>
            <w:r w:rsidRPr="0056102A">
              <w:rPr>
                <w:rFonts w:ascii="Arial" w:hAnsi="Arial" w:cs="Arial"/>
                <w:color w:val="165788"/>
              </w:rPr>
              <w:t xml:space="preserve"> peer organisations annually </w:t>
            </w:r>
            <w:r w:rsidR="0056102A" w:rsidRPr="0056102A">
              <w:rPr>
                <w:rFonts w:ascii="Arial" w:hAnsi="Arial" w:cs="Arial"/>
                <w:color w:val="165788"/>
              </w:rPr>
              <w:t>via</w:t>
            </w:r>
            <w:r w:rsidRPr="0056102A">
              <w:rPr>
                <w:rFonts w:ascii="Arial" w:hAnsi="Arial" w:cs="Arial"/>
                <w:color w:val="165788"/>
              </w:rPr>
              <w:t xml:space="preserve"> Housemark benchmark reports.</w:t>
            </w:r>
          </w:p>
          <w:p w:rsidR="001217D4" w:rsidRPr="004C5F6E" w:rsidRDefault="001217D4" w:rsidP="001217D4">
            <w:pPr>
              <w:rPr>
                <w:rFonts w:ascii="Arial" w:hAnsi="Arial" w:cs="Arial"/>
                <w:color w:val="165788"/>
              </w:rPr>
            </w:pPr>
          </w:p>
          <w:p w:rsidR="004C5F6E" w:rsidRDefault="005479F2" w:rsidP="001217D4">
            <w:pPr>
              <w:rPr>
                <w:rFonts w:ascii="Arial" w:hAnsi="Arial" w:cs="Arial"/>
                <w:color w:val="165788"/>
              </w:rPr>
            </w:pPr>
            <w:r>
              <w:rPr>
                <w:rFonts w:ascii="Arial" w:hAnsi="Arial" w:cs="Arial"/>
                <w:color w:val="165788"/>
              </w:rPr>
              <w:t>Benchmark</w:t>
            </w:r>
            <w:r w:rsidR="00DA44E9">
              <w:rPr>
                <w:rFonts w:ascii="Arial" w:hAnsi="Arial" w:cs="Arial"/>
                <w:color w:val="165788"/>
              </w:rPr>
              <w:t xml:space="preserve">s  are incorporated into the Strategic Balanced Scorecard and annual results are </w:t>
            </w:r>
            <w:r w:rsidR="004C5F6E" w:rsidRPr="004C5F6E">
              <w:rPr>
                <w:rFonts w:ascii="Arial" w:hAnsi="Arial" w:cs="Arial"/>
                <w:color w:val="165788"/>
              </w:rPr>
              <w:t>reported to the Tenant Panel and PRC.</w:t>
            </w:r>
          </w:p>
          <w:p w:rsidR="004C5F6E" w:rsidRDefault="004C5F6E" w:rsidP="001217D4">
            <w:pPr>
              <w:rPr>
                <w:rFonts w:ascii="Arial" w:hAnsi="Arial" w:cs="Arial"/>
                <w:color w:val="165788"/>
              </w:rPr>
            </w:pPr>
          </w:p>
          <w:p w:rsidR="004C5F6E" w:rsidRDefault="004C5F6E" w:rsidP="001217D4">
            <w:pPr>
              <w:rPr>
                <w:rFonts w:ascii="Arial" w:hAnsi="Arial" w:cs="Arial"/>
                <w:color w:val="165788"/>
              </w:rPr>
            </w:pPr>
            <w:r w:rsidRPr="0056102A">
              <w:rPr>
                <w:rFonts w:ascii="Arial" w:hAnsi="Arial" w:cs="Arial"/>
                <w:color w:val="165788"/>
              </w:rPr>
              <w:t xml:space="preserve">bdht were participants in the </w:t>
            </w:r>
            <w:r>
              <w:rPr>
                <w:rFonts w:ascii="Arial" w:hAnsi="Arial" w:cs="Arial"/>
                <w:color w:val="165788"/>
              </w:rPr>
              <w:t xml:space="preserve">2017 </w:t>
            </w:r>
            <w:r w:rsidRPr="0056102A">
              <w:rPr>
                <w:rFonts w:ascii="Arial" w:hAnsi="Arial" w:cs="Arial"/>
                <w:color w:val="165788"/>
              </w:rPr>
              <w:t xml:space="preserve">Sector Scorecard </w:t>
            </w:r>
            <w:r>
              <w:rPr>
                <w:rFonts w:ascii="Arial" w:hAnsi="Arial" w:cs="Arial"/>
                <w:color w:val="165788"/>
              </w:rPr>
              <w:t xml:space="preserve"> </w:t>
            </w:r>
            <w:r w:rsidRPr="0056102A">
              <w:rPr>
                <w:rFonts w:ascii="Arial" w:hAnsi="Arial" w:cs="Arial"/>
                <w:color w:val="165788"/>
              </w:rPr>
              <w:t>comparing the efficiency of Registered Providers during 2016/17 across a range of metrics.</w:t>
            </w:r>
          </w:p>
          <w:p w:rsidR="004C5F6E" w:rsidRPr="007D187B" w:rsidRDefault="004C5F6E" w:rsidP="001217D4">
            <w:pPr>
              <w:rPr>
                <w:rFonts w:ascii="Arial" w:hAnsi="Arial" w:cs="Arial"/>
                <w:color w:val="42145F"/>
              </w:rPr>
            </w:pPr>
          </w:p>
          <w:p w:rsidR="002C1F97" w:rsidRPr="004C5F6E" w:rsidRDefault="00F81FBF" w:rsidP="002C1F97">
            <w:pPr>
              <w:rPr>
                <w:rFonts w:ascii="Arial" w:hAnsi="Arial" w:cs="Arial"/>
                <w:color w:val="165788"/>
              </w:rPr>
            </w:pPr>
            <w:r w:rsidRPr="004C5F6E">
              <w:rPr>
                <w:rFonts w:ascii="Arial" w:hAnsi="Arial" w:cs="Arial"/>
                <w:color w:val="165788"/>
              </w:rPr>
              <w:t xml:space="preserve">The </w:t>
            </w:r>
            <w:r w:rsidR="00D7060C" w:rsidRPr="004C5F6E">
              <w:rPr>
                <w:rFonts w:ascii="Arial" w:hAnsi="Arial" w:cs="Arial"/>
                <w:color w:val="165788"/>
              </w:rPr>
              <w:t xml:space="preserve">Strategic Balanced Scorecard (SBS) of key performance indicators </w:t>
            </w:r>
            <w:r w:rsidRPr="004C5F6E">
              <w:rPr>
                <w:rFonts w:ascii="Arial" w:hAnsi="Arial" w:cs="Arial"/>
                <w:color w:val="165788"/>
              </w:rPr>
              <w:t xml:space="preserve">is closely </w:t>
            </w:r>
            <w:r w:rsidR="00D7060C" w:rsidRPr="004C5F6E">
              <w:rPr>
                <w:rFonts w:ascii="Arial" w:hAnsi="Arial" w:cs="Arial"/>
                <w:color w:val="165788"/>
              </w:rPr>
              <w:t>aligned to the bdht risk map. The SBS is issued to all Board members monthly and reviewed in detail by t</w:t>
            </w:r>
            <w:r w:rsidR="002C1F97" w:rsidRPr="004C5F6E">
              <w:rPr>
                <w:rFonts w:ascii="Arial" w:hAnsi="Arial" w:cs="Arial"/>
                <w:color w:val="165788"/>
              </w:rPr>
              <w:t>he Performance &amp; Review Committee on a quarterly basis</w:t>
            </w:r>
            <w:r w:rsidR="004C5F6E" w:rsidRPr="004C5F6E">
              <w:rPr>
                <w:rFonts w:ascii="Arial" w:hAnsi="Arial" w:cs="Arial"/>
                <w:color w:val="165788"/>
              </w:rPr>
              <w:t xml:space="preserve"> (from Quarter 1 2018/19 to Compliance Committee)</w:t>
            </w:r>
            <w:r w:rsidR="002C1F97" w:rsidRPr="004C5F6E">
              <w:rPr>
                <w:rFonts w:ascii="Arial" w:hAnsi="Arial" w:cs="Arial"/>
                <w:color w:val="165788"/>
              </w:rPr>
              <w:t xml:space="preserve">. The </w:t>
            </w:r>
            <w:r w:rsidR="000727D7" w:rsidRPr="004C5F6E">
              <w:rPr>
                <w:rFonts w:ascii="Arial" w:hAnsi="Arial" w:cs="Arial"/>
                <w:color w:val="165788"/>
              </w:rPr>
              <w:t>201</w:t>
            </w:r>
            <w:r w:rsidR="004C5F6E" w:rsidRPr="004C5F6E">
              <w:rPr>
                <w:rFonts w:ascii="Arial" w:hAnsi="Arial" w:cs="Arial"/>
                <w:color w:val="165788"/>
              </w:rPr>
              <w:t>7</w:t>
            </w:r>
            <w:r w:rsidR="000727D7" w:rsidRPr="004C5F6E">
              <w:rPr>
                <w:rFonts w:ascii="Arial" w:hAnsi="Arial" w:cs="Arial"/>
                <w:color w:val="165788"/>
              </w:rPr>
              <w:t>/1</w:t>
            </w:r>
            <w:r w:rsidR="004C5F6E" w:rsidRPr="004C5F6E">
              <w:rPr>
                <w:rFonts w:ascii="Arial" w:hAnsi="Arial" w:cs="Arial"/>
                <w:color w:val="165788"/>
              </w:rPr>
              <w:t>8</w:t>
            </w:r>
            <w:r w:rsidR="002C1F97" w:rsidRPr="004C5F6E">
              <w:rPr>
                <w:rFonts w:ascii="Arial" w:hAnsi="Arial" w:cs="Arial"/>
                <w:color w:val="165788"/>
              </w:rPr>
              <w:t xml:space="preserve"> scorecard included a number of efficiency indicators including;</w:t>
            </w:r>
          </w:p>
          <w:p w:rsidR="00F81FBF" w:rsidRPr="004C5F6E" w:rsidRDefault="00F81FBF" w:rsidP="00896CA9">
            <w:pPr>
              <w:pStyle w:val="ListParagraph"/>
              <w:numPr>
                <w:ilvl w:val="0"/>
                <w:numId w:val="4"/>
              </w:numPr>
              <w:rPr>
                <w:rFonts w:ascii="Arial" w:hAnsi="Arial" w:cs="Arial"/>
                <w:color w:val="165788"/>
              </w:rPr>
            </w:pPr>
            <w:r w:rsidRPr="004C5F6E">
              <w:rPr>
                <w:rFonts w:ascii="Arial" w:hAnsi="Arial" w:cs="Arial"/>
                <w:color w:val="165788"/>
              </w:rPr>
              <w:t>Unit Cost per Property;</w:t>
            </w:r>
          </w:p>
          <w:p w:rsidR="00F81FBF" w:rsidRPr="004C5F6E" w:rsidRDefault="00F81FBF" w:rsidP="00896CA9">
            <w:pPr>
              <w:pStyle w:val="ListParagraph"/>
              <w:numPr>
                <w:ilvl w:val="0"/>
                <w:numId w:val="4"/>
              </w:numPr>
              <w:rPr>
                <w:rFonts w:ascii="Arial" w:hAnsi="Arial" w:cs="Arial"/>
                <w:color w:val="165788"/>
              </w:rPr>
            </w:pPr>
            <w:r w:rsidRPr="004C5F6E">
              <w:rPr>
                <w:rFonts w:ascii="Arial" w:hAnsi="Arial" w:cs="Arial"/>
                <w:color w:val="165788"/>
              </w:rPr>
              <w:t>Annual Revenue Cost Savings;</w:t>
            </w:r>
          </w:p>
          <w:p w:rsidR="002C1F97" w:rsidRPr="004C5F6E" w:rsidRDefault="00D7060C" w:rsidP="00896CA9">
            <w:pPr>
              <w:pStyle w:val="ListParagraph"/>
              <w:numPr>
                <w:ilvl w:val="0"/>
                <w:numId w:val="4"/>
              </w:numPr>
              <w:rPr>
                <w:rFonts w:ascii="Arial" w:hAnsi="Arial" w:cs="Arial"/>
                <w:color w:val="165788"/>
              </w:rPr>
            </w:pPr>
            <w:r w:rsidRPr="004C5F6E">
              <w:rPr>
                <w:rFonts w:ascii="Arial" w:hAnsi="Arial" w:cs="Arial"/>
                <w:color w:val="165788"/>
              </w:rPr>
              <w:t>V</w:t>
            </w:r>
            <w:r w:rsidR="002C1F97" w:rsidRPr="004C5F6E">
              <w:rPr>
                <w:rFonts w:ascii="Arial" w:hAnsi="Arial" w:cs="Arial"/>
                <w:color w:val="165788"/>
              </w:rPr>
              <w:t>oid rent loss;</w:t>
            </w:r>
          </w:p>
          <w:p w:rsidR="002C1F97" w:rsidRPr="004C5F6E" w:rsidRDefault="001217D4" w:rsidP="00896CA9">
            <w:pPr>
              <w:pStyle w:val="ListParagraph"/>
              <w:numPr>
                <w:ilvl w:val="0"/>
                <w:numId w:val="4"/>
              </w:numPr>
              <w:rPr>
                <w:rFonts w:ascii="Arial" w:hAnsi="Arial" w:cs="Arial"/>
                <w:color w:val="165788"/>
              </w:rPr>
            </w:pPr>
            <w:r w:rsidRPr="004C5F6E">
              <w:rPr>
                <w:rFonts w:ascii="Arial" w:hAnsi="Arial" w:cs="Arial"/>
                <w:color w:val="165788"/>
              </w:rPr>
              <w:t>Operating margin</w:t>
            </w:r>
            <w:r w:rsidR="002C1F97" w:rsidRPr="004C5F6E">
              <w:rPr>
                <w:rFonts w:ascii="Arial" w:hAnsi="Arial" w:cs="Arial"/>
                <w:color w:val="165788"/>
              </w:rPr>
              <w:t>;</w:t>
            </w:r>
          </w:p>
          <w:p w:rsidR="00426AD7" w:rsidRPr="004C5F6E" w:rsidRDefault="000D0E57" w:rsidP="00896CA9">
            <w:pPr>
              <w:pStyle w:val="ListParagraph"/>
              <w:numPr>
                <w:ilvl w:val="0"/>
                <w:numId w:val="4"/>
              </w:numPr>
              <w:rPr>
                <w:rFonts w:ascii="Arial" w:hAnsi="Arial" w:cs="Arial"/>
                <w:color w:val="165788"/>
              </w:rPr>
            </w:pPr>
            <w:r w:rsidRPr="004C5F6E">
              <w:rPr>
                <w:rFonts w:ascii="Arial" w:hAnsi="Arial" w:cs="Arial"/>
                <w:color w:val="165788"/>
              </w:rPr>
              <w:t>Operating surplus;</w:t>
            </w:r>
          </w:p>
          <w:p w:rsidR="00D7060C" w:rsidRPr="004C5F6E" w:rsidRDefault="00D7060C" w:rsidP="00896CA9">
            <w:pPr>
              <w:pStyle w:val="ListParagraph"/>
              <w:numPr>
                <w:ilvl w:val="0"/>
                <w:numId w:val="4"/>
              </w:numPr>
              <w:rPr>
                <w:rFonts w:ascii="Arial" w:hAnsi="Arial" w:cs="Arial"/>
                <w:color w:val="165788"/>
              </w:rPr>
            </w:pPr>
            <w:r w:rsidRPr="004C5F6E">
              <w:rPr>
                <w:rFonts w:ascii="Arial" w:hAnsi="Arial" w:cs="Arial"/>
                <w:color w:val="165788"/>
              </w:rPr>
              <w:t>Average number of repairs per property;</w:t>
            </w:r>
          </w:p>
          <w:p w:rsidR="001217D4" w:rsidRPr="004C5F6E" w:rsidRDefault="00D7060C" w:rsidP="00896CA9">
            <w:pPr>
              <w:pStyle w:val="ListParagraph"/>
              <w:numPr>
                <w:ilvl w:val="0"/>
                <w:numId w:val="4"/>
              </w:numPr>
              <w:rPr>
                <w:rFonts w:ascii="Arial" w:hAnsi="Arial" w:cs="Arial"/>
                <w:color w:val="165788"/>
              </w:rPr>
            </w:pPr>
            <w:r w:rsidRPr="004C5F6E">
              <w:rPr>
                <w:rFonts w:ascii="Arial" w:hAnsi="Arial" w:cs="Arial"/>
                <w:color w:val="165788"/>
              </w:rPr>
              <w:t>Stock turnover</w:t>
            </w:r>
            <w:r w:rsidR="001217D4" w:rsidRPr="004C5F6E">
              <w:rPr>
                <w:rFonts w:ascii="Arial" w:hAnsi="Arial" w:cs="Arial"/>
                <w:color w:val="165788"/>
              </w:rPr>
              <w:t>.</w:t>
            </w:r>
          </w:p>
          <w:p w:rsidR="002C1F97" w:rsidRPr="007D187B" w:rsidRDefault="002C1F97" w:rsidP="002C1F97">
            <w:pPr>
              <w:rPr>
                <w:rFonts w:ascii="Arial" w:hAnsi="Arial" w:cs="Arial"/>
                <w:color w:val="42145F"/>
              </w:rPr>
            </w:pPr>
          </w:p>
          <w:p w:rsidR="002C1F97" w:rsidRPr="004C5F6E" w:rsidRDefault="000C2D93" w:rsidP="002C1F97">
            <w:pPr>
              <w:rPr>
                <w:rFonts w:ascii="Arial" w:hAnsi="Arial" w:cs="Arial"/>
                <w:color w:val="165788"/>
              </w:rPr>
            </w:pPr>
            <w:r w:rsidRPr="004C5F6E">
              <w:rPr>
                <w:rFonts w:ascii="Arial" w:hAnsi="Arial" w:cs="Arial"/>
                <w:color w:val="165788"/>
              </w:rPr>
              <w:t>The</w:t>
            </w:r>
            <w:r w:rsidR="002C1F97" w:rsidRPr="004C5F6E">
              <w:rPr>
                <w:rFonts w:ascii="Arial" w:hAnsi="Arial" w:cs="Arial"/>
                <w:color w:val="165788"/>
              </w:rPr>
              <w:t xml:space="preserve"> Tenant Panel monitor and scrutinise performance in service delivery, in particular the delivery of the bdht local offer to tenants. The Tenants Panel use a number of sources of information on which to base their judgement, these include;</w:t>
            </w:r>
          </w:p>
          <w:p w:rsidR="002C1F97" w:rsidRPr="004C5F6E" w:rsidRDefault="002C1F97" w:rsidP="002C1F97">
            <w:pPr>
              <w:rPr>
                <w:rFonts w:ascii="Arial" w:hAnsi="Arial" w:cs="Arial"/>
                <w:color w:val="165788"/>
              </w:rPr>
            </w:pPr>
          </w:p>
          <w:p w:rsidR="002C1F97" w:rsidRPr="004C5F6E" w:rsidRDefault="002C1F97" w:rsidP="00896CA9">
            <w:pPr>
              <w:pStyle w:val="ListParagraph"/>
              <w:numPr>
                <w:ilvl w:val="0"/>
                <w:numId w:val="5"/>
              </w:numPr>
              <w:rPr>
                <w:rFonts w:ascii="Arial" w:hAnsi="Arial" w:cs="Arial"/>
                <w:color w:val="165788"/>
              </w:rPr>
            </w:pPr>
            <w:r w:rsidRPr="004C5F6E">
              <w:rPr>
                <w:rFonts w:ascii="Arial" w:hAnsi="Arial" w:cs="Arial"/>
                <w:color w:val="165788"/>
              </w:rPr>
              <w:t>A local offer scorecard of  indicators;</w:t>
            </w:r>
          </w:p>
          <w:p w:rsidR="000C2D93" w:rsidRPr="004C5F6E" w:rsidRDefault="000C2D93" w:rsidP="00896CA9">
            <w:pPr>
              <w:pStyle w:val="ListParagraph"/>
              <w:numPr>
                <w:ilvl w:val="0"/>
                <w:numId w:val="5"/>
              </w:numPr>
              <w:rPr>
                <w:rFonts w:ascii="Arial" w:hAnsi="Arial" w:cs="Arial"/>
                <w:color w:val="165788"/>
              </w:rPr>
            </w:pPr>
            <w:r w:rsidRPr="004C5F6E">
              <w:rPr>
                <w:rFonts w:ascii="Arial" w:hAnsi="Arial" w:cs="Arial"/>
                <w:color w:val="165788"/>
              </w:rPr>
              <w:t>Repair completion times by category;</w:t>
            </w:r>
          </w:p>
          <w:p w:rsidR="002C1F97" w:rsidRPr="004C5F6E" w:rsidRDefault="002C1F97" w:rsidP="00896CA9">
            <w:pPr>
              <w:pStyle w:val="ListParagraph"/>
              <w:numPr>
                <w:ilvl w:val="0"/>
                <w:numId w:val="5"/>
              </w:numPr>
              <w:rPr>
                <w:rFonts w:ascii="Arial" w:hAnsi="Arial" w:cs="Arial"/>
                <w:color w:val="165788"/>
              </w:rPr>
            </w:pPr>
            <w:r w:rsidRPr="004C5F6E">
              <w:rPr>
                <w:rFonts w:ascii="Arial" w:hAnsi="Arial" w:cs="Arial"/>
                <w:color w:val="165788"/>
              </w:rPr>
              <w:t>The balanced scorecard reported to PRC;</w:t>
            </w:r>
          </w:p>
          <w:p w:rsidR="002C1F97" w:rsidRPr="004C5F6E" w:rsidRDefault="002C1F97" w:rsidP="00896CA9">
            <w:pPr>
              <w:pStyle w:val="ListParagraph"/>
              <w:numPr>
                <w:ilvl w:val="0"/>
                <w:numId w:val="5"/>
              </w:numPr>
              <w:rPr>
                <w:rFonts w:ascii="Arial" w:hAnsi="Arial" w:cs="Arial"/>
                <w:color w:val="165788"/>
              </w:rPr>
            </w:pPr>
            <w:r w:rsidRPr="004C5F6E">
              <w:rPr>
                <w:rFonts w:ascii="Arial" w:hAnsi="Arial" w:cs="Arial"/>
                <w:color w:val="165788"/>
              </w:rPr>
              <w:t>An analysis of complaints received;</w:t>
            </w:r>
          </w:p>
          <w:p w:rsidR="002C1F97" w:rsidRPr="004C5F6E" w:rsidRDefault="002C1F97" w:rsidP="00896CA9">
            <w:pPr>
              <w:pStyle w:val="ListParagraph"/>
              <w:numPr>
                <w:ilvl w:val="0"/>
                <w:numId w:val="5"/>
              </w:numPr>
              <w:rPr>
                <w:rFonts w:ascii="Arial" w:hAnsi="Arial" w:cs="Arial"/>
                <w:color w:val="165788"/>
              </w:rPr>
            </w:pPr>
            <w:r w:rsidRPr="004C5F6E">
              <w:rPr>
                <w:rFonts w:ascii="Arial" w:hAnsi="Arial" w:cs="Arial"/>
                <w:color w:val="165788"/>
              </w:rPr>
              <w:t>The outcome of tenant “mystery shops”;</w:t>
            </w:r>
          </w:p>
          <w:p w:rsidR="004C5F6E" w:rsidRPr="004C5F6E" w:rsidRDefault="004C5F6E" w:rsidP="00896CA9">
            <w:pPr>
              <w:pStyle w:val="ListParagraph"/>
              <w:numPr>
                <w:ilvl w:val="0"/>
                <w:numId w:val="5"/>
              </w:numPr>
              <w:rPr>
                <w:rFonts w:ascii="Arial" w:hAnsi="Arial" w:cs="Arial"/>
                <w:color w:val="165788"/>
              </w:rPr>
            </w:pPr>
            <w:r w:rsidRPr="004C5F6E">
              <w:rPr>
                <w:rFonts w:ascii="Arial" w:hAnsi="Arial" w:cs="Arial"/>
                <w:color w:val="165788"/>
              </w:rPr>
              <w:t>A summary of Tenant Inspections (communal cleaning &amp; grounds maintenance)</w:t>
            </w:r>
          </w:p>
          <w:p w:rsidR="002C1F97" w:rsidRPr="004C5F6E" w:rsidRDefault="002C1F97" w:rsidP="00896CA9">
            <w:pPr>
              <w:pStyle w:val="ListParagraph"/>
              <w:numPr>
                <w:ilvl w:val="0"/>
                <w:numId w:val="5"/>
              </w:numPr>
              <w:rPr>
                <w:rFonts w:ascii="Arial" w:hAnsi="Arial" w:cs="Arial"/>
                <w:color w:val="165788"/>
              </w:rPr>
            </w:pPr>
            <w:r w:rsidRPr="004C5F6E">
              <w:rPr>
                <w:rFonts w:ascii="Arial" w:hAnsi="Arial" w:cs="Arial"/>
                <w:color w:val="165788"/>
              </w:rPr>
              <w:t>Summary of satisfaction survey results;</w:t>
            </w:r>
          </w:p>
          <w:p w:rsidR="002C1F97" w:rsidRPr="004C5F6E" w:rsidRDefault="002C1F97" w:rsidP="00896CA9">
            <w:pPr>
              <w:pStyle w:val="ListParagraph"/>
              <w:numPr>
                <w:ilvl w:val="0"/>
                <w:numId w:val="5"/>
              </w:numPr>
              <w:rPr>
                <w:rFonts w:ascii="Arial" w:hAnsi="Arial" w:cs="Arial"/>
                <w:color w:val="165788"/>
              </w:rPr>
            </w:pPr>
            <w:r w:rsidRPr="004C5F6E">
              <w:rPr>
                <w:rFonts w:ascii="Arial" w:hAnsi="Arial" w:cs="Arial"/>
                <w:color w:val="165788"/>
              </w:rPr>
              <w:t>Minutes from Focus Groups</w:t>
            </w:r>
          </w:p>
          <w:p w:rsidR="002C1F97" w:rsidRPr="004C5F6E" w:rsidRDefault="002C1F97" w:rsidP="00896CA9">
            <w:pPr>
              <w:pStyle w:val="ListParagraph"/>
              <w:numPr>
                <w:ilvl w:val="0"/>
                <w:numId w:val="5"/>
              </w:numPr>
              <w:rPr>
                <w:rFonts w:ascii="Arial" w:hAnsi="Arial" w:cs="Arial"/>
                <w:color w:val="165788"/>
              </w:rPr>
            </w:pPr>
            <w:r w:rsidRPr="004C5F6E">
              <w:rPr>
                <w:rFonts w:ascii="Arial" w:hAnsi="Arial" w:cs="Arial"/>
                <w:color w:val="165788"/>
              </w:rPr>
              <w:t>Housemark VfM reports</w:t>
            </w:r>
          </w:p>
          <w:p w:rsidR="002C1F97" w:rsidRPr="004C5F6E" w:rsidRDefault="002C1F97" w:rsidP="00896CA9">
            <w:pPr>
              <w:pStyle w:val="ListParagraph"/>
              <w:numPr>
                <w:ilvl w:val="0"/>
                <w:numId w:val="5"/>
              </w:numPr>
              <w:rPr>
                <w:rFonts w:ascii="Arial" w:hAnsi="Arial" w:cs="Arial"/>
                <w:color w:val="165788"/>
              </w:rPr>
            </w:pPr>
            <w:r w:rsidRPr="004C5F6E">
              <w:rPr>
                <w:rFonts w:ascii="Arial" w:hAnsi="Arial" w:cs="Arial"/>
                <w:color w:val="165788"/>
              </w:rPr>
              <w:t>Detailed service reports.</w:t>
            </w:r>
          </w:p>
          <w:p w:rsidR="002C1F97" w:rsidRPr="004C5F6E" w:rsidRDefault="002C1F97" w:rsidP="002C1F97">
            <w:pPr>
              <w:rPr>
                <w:rFonts w:ascii="Arial" w:hAnsi="Arial" w:cs="Arial"/>
                <w:color w:val="165788"/>
              </w:rPr>
            </w:pPr>
          </w:p>
          <w:p w:rsidR="002C1F97" w:rsidRPr="004C5F6E" w:rsidRDefault="002C1F97" w:rsidP="002C1F97">
            <w:pPr>
              <w:rPr>
                <w:rFonts w:ascii="Arial" w:hAnsi="Arial" w:cs="Arial"/>
                <w:color w:val="165788"/>
              </w:rPr>
            </w:pPr>
            <w:r w:rsidRPr="004C5F6E">
              <w:rPr>
                <w:rFonts w:ascii="Arial" w:hAnsi="Arial" w:cs="Arial"/>
                <w:color w:val="165788"/>
              </w:rPr>
              <w:t>Each quarter the Panel make an assessment of performance against the bdht local offer. This assessment, including any areas for improvement/recommendations to improve, is reported to the PRC quarterly.</w:t>
            </w:r>
          </w:p>
          <w:p w:rsidR="000C2D93" w:rsidRPr="007D187B" w:rsidRDefault="000C2D93" w:rsidP="002C1F97">
            <w:pPr>
              <w:rPr>
                <w:rFonts w:ascii="Arial" w:hAnsi="Arial" w:cs="Arial"/>
                <w:color w:val="42145F"/>
              </w:rPr>
            </w:pPr>
          </w:p>
          <w:p w:rsidR="002C1F97" w:rsidRPr="00EC2B39" w:rsidRDefault="002C1F97" w:rsidP="002C1F97">
            <w:pPr>
              <w:rPr>
                <w:rFonts w:ascii="Arial" w:hAnsi="Arial" w:cs="Arial"/>
                <w:b/>
                <w:color w:val="165788"/>
                <w:lang w:eastAsia="en-GB"/>
              </w:rPr>
            </w:pPr>
            <w:r w:rsidRPr="00EC2B39">
              <w:rPr>
                <w:rFonts w:ascii="Arial" w:hAnsi="Arial" w:cs="Arial"/>
                <w:b/>
                <w:color w:val="165788"/>
                <w:lang w:eastAsia="en-GB"/>
              </w:rPr>
              <w:t xml:space="preserve">Understand the costs and outcomes of delivering specific services </w:t>
            </w:r>
          </w:p>
          <w:p w:rsidR="002C1F97" w:rsidRPr="00EC2B39" w:rsidRDefault="002C1F97" w:rsidP="002C1F97">
            <w:pPr>
              <w:rPr>
                <w:rFonts w:ascii="Arial" w:hAnsi="Arial" w:cs="Arial"/>
                <w:color w:val="165788"/>
                <w:lang w:eastAsia="en-GB"/>
              </w:rPr>
            </w:pPr>
            <w:r w:rsidRPr="00EC2B39">
              <w:rPr>
                <w:rFonts w:ascii="Arial" w:hAnsi="Arial" w:cs="Arial"/>
                <w:color w:val="165788"/>
                <w:lang w:eastAsia="en-GB"/>
              </w:rPr>
              <w:t xml:space="preserve">All in-house repair teams (CRT Response Repairs Team, </w:t>
            </w:r>
            <w:r w:rsidR="00B124C3">
              <w:rPr>
                <w:rFonts w:ascii="Arial" w:hAnsi="Arial" w:cs="Arial"/>
                <w:color w:val="165788"/>
                <w:lang w:eastAsia="en-GB"/>
              </w:rPr>
              <w:t xml:space="preserve">Roofing Team, </w:t>
            </w:r>
            <w:r w:rsidRPr="00EC2B39">
              <w:rPr>
                <w:rFonts w:ascii="Arial" w:hAnsi="Arial" w:cs="Arial"/>
                <w:color w:val="165788"/>
                <w:lang w:eastAsia="en-GB"/>
              </w:rPr>
              <w:t>Gas Servicing &amp; Repairs and Void Repairs) produce monthly Trading Statements which combine cost, input, output and efficiency measures. These are reported monthly to the Executive Management Team.</w:t>
            </w:r>
          </w:p>
          <w:p w:rsidR="003141E2" w:rsidRPr="00EC2B39" w:rsidRDefault="003141E2" w:rsidP="002C1F97">
            <w:pPr>
              <w:rPr>
                <w:rFonts w:ascii="Arial" w:hAnsi="Arial" w:cs="Arial"/>
                <w:color w:val="165788"/>
                <w:lang w:eastAsia="en-GB"/>
              </w:rPr>
            </w:pPr>
          </w:p>
          <w:p w:rsidR="003141E2" w:rsidRPr="00EC2B39" w:rsidRDefault="003141E2" w:rsidP="002C1F97">
            <w:pPr>
              <w:rPr>
                <w:rFonts w:ascii="Arial" w:hAnsi="Arial" w:cs="Arial"/>
                <w:color w:val="165788"/>
              </w:rPr>
            </w:pPr>
            <w:r w:rsidRPr="00EC2B39">
              <w:rPr>
                <w:rFonts w:ascii="Arial" w:hAnsi="Arial" w:cs="Arial"/>
                <w:color w:val="165788"/>
                <w:lang w:eastAsia="en-GB"/>
              </w:rPr>
              <w:t xml:space="preserve">EMT receives detailed monthly budget and performance monitoring reports for all services. These provide an understanding of both cost and outcomes. </w:t>
            </w:r>
            <w:r w:rsidRPr="00EC2B39">
              <w:rPr>
                <w:rFonts w:ascii="Arial" w:hAnsi="Arial" w:cs="Arial"/>
                <w:color w:val="165788"/>
              </w:rPr>
              <w:t>Wherever target is not achieved detailed analysis is provided to identify the root cause and recommend action for improvement.</w:t>
            </w:r>
          </w:p>
          <w:p w:rsidR="00F81FBF" w:rsidRDefault="00F81FBF" w:rsidP="002C1F97">
            <w:pPr>
              <w:rPr>
                <w:rFonts w:ascii="Arial" w:hAnsi="Arial" w:cs="Arial"/>
                <w:color w:val="009B3A"/>
              </w:rPr>
            </w:pPr>
          </w:p>
          <w:p w:rsidR="00F81FBF" w:rsidRPr="00EC2B39" w:rsidRDefault="00E12B05" w:rsidP="002C1F97">
            <w:pPr>
              <w:rPr>
                <w:rFonts w:ascii="Arial" w:hAnsi="Arial" w:cs="Arial"/>
                <w:color w:val="165788"/>
              </w:rPr>
            </w:pPr>
            <w:r w:rsidRPr="00EC2B39">
              <w:rPr>
                <w:rFonts w:ascii="Arial" w:hAnsi="Arial" w:cs="Arial"/>
                <w:color w:val="165788"/>
              </w:rPr>
              <w:t xml:space="preserve">Every service area has a range of performance indicators with output and outcome measures. These are monitored monthly by the Key Performance Indicator Scrutiny Group and reported monthly to </w:t>
            </w:r>
            <w:r w:rsidR="00F81FBF" w:rsidRPr="00EC2B39">
              <w:rPr>
                <w:rFonts w:ascii="Arial" w:hAnsi="Arial" w:cs="Arial"/>
                <w:color w:val="165788"/>
              </w:rPr>
              <w:t xml:space="preserve">EMT </w:t>
            </w:r>
            <w:r w:rsidRPr="00EC2B39">
              <w:rPr>
                <w:rFonts w:ascii="Arial" w:hAnsi="Arial" w:cs="Arial"/>
                <w:color w:val="165788"/>
              </w:rPr>
              <w:t xml:space="preserve">by exception. </w:t>
            </w:r>
          </w:p>
          <w:p w:rsidR="00D7060C" w:rsidRPr="00EC2B39" w:rsidRDefault="00D7060C" w:rsidP="002C1F97">
            <w:pPr>
              <w:rPr>
                <w:rFonts w:ascii="Arial" w:hAnsi="Arial" w:cs="Arial"/>
                <w:color w:val="165788"/>
              </w:rPr>
            </w:pPr>
          </w:p>
          <w:p w:rsidR="00D7060C" w:rsidRPr="00EC2B39" w:rsidRDefault="00F53D48" w:rsidP="002C1F97">
            <w:pPr>
              <w:rPr>
                <w:rFonts w:ascii="Arial" w:hAnsi="Arial" w:cs="Arial"/>
                <w:color w:val="165788"/>
              </w:rPr>
            </w:pPr>
            <w:r w:rsidRPr="00EC2B39">
              <w:rPr>
                <w:rFonts w:ascii="Arial" w:hAnsi="Arial" w:cs="Arial"/>
                <w:color w:val="165788"/>
              </w:rPr>
              <w:t xml:space="preserve">The Board receive quarterly management accounts summarising service income and expenditure together with any variances and actions being taken in response to any adverse out-turns. </w:t>
            </w:r>
          </w:p>
          <w:p w:rsidR="00F53D48" w:rsidRPr="00F81FBF" w:rsidRDefault="00F53D48" w:rsidP="002C1F97">
            <w:pPr>
              <w:rPr>
                <w:rFonts w:ascii="Arial" w:hAnsi="Arial" w:cs="Arial"/>
                <w:color w:val="009B3A"/>
              </w:rPr>
            </w:pPr>
          </w:p>
          <w:p w:rsidR="00E363B4" w:rsidRPr="003615FB" w:rsidRDefault="00F53D48" w:rsidP="002C1F97">
            <w:pPr>
              <w:rPr>
                <w:rFonts w:ascii="Arial" w:hAnsi="Arial" w:cs="Arial"/>
                <w:b/>
                <w:color w:val="165788"/>
                <w:lang w:eastAsia="en-GB"/>
              </w:rPr>
            </w:pPr>
            <w:r w:rsidRPr="003615FB">
              <w:rPr>
                <w:rFonts w:ascii="Arial" w:hAnsi="Arial" w:cs="Arial"/>
                <w:b/>
                <w:color w:val="165788"/>
                <w:lang w:eastAsia="en-GB"/>
              </w:rPr>
              <w:t>2.2 Transparency in assessing compliance with the standard.</w:t>
            </w:r>
          </w:p>
          <w:p w:rsidR="00F53D48" w:rsidRPr="003615FB" w:rsidRDefault="00F53D48" w:rsidP="002C1F97">
            <w:pPr>
              <w:rPr>
                <w:rFonts w:ascii="Arial" w:hAnsi="Arial" w:cs="Arial"/>
                <w:b/>
                <w:color w:val="165788"/>
                <w:lang w:eastAsia="en-GB"/>
              </w:rPr>
            </w:pPr>
          </w:p>
          <w:p w:rsidR="00F53D48" w:rsidRPr="003615FB" w:rsidRDefault="00F53D48" w:rsidP="00F53D48">
            <w:pPr>
              <w:rPr>
                <w:rFonts w:ascii="Arial" w:hAnsi="Arial" w:cs="Arial"/>
                <w:color w:val="165788"/>
              </w:rPr>
            </w:pPr>
            <w:r w:rsidRPr="003615FB">
              <w:rPr>
                <w:rFonts w:ascii="Arial" w:hAnsi="Arial" w:cs="Arial"/>
                <w:color w:val="165788"/>
              </w:rPr>
              <w:t>In accordance with regulatory requirements bdht has undertaken rigorous self-assessments of performance in delivery of VfM for 2012/13, 2013/14 2014/15</w:t>
            </w:r>
            <w:r w:rsidR="00EC2B39" w:rsidRPr="003615FB">
              <w:rPr>
                <w:rFonts w:ascii="Arial" w:hAnsi="Arial" w:cs="Arial"/>
                <w:color w:val="165788"/>
              </w:rPr>
              <w:t>,</w:t>
            </w:r>
            <w:r w:rsidR="00E12B05" w:rsidRPr="003615FB">
              <w:rPr>
                <w:rFonts w:ascii="Arial" w:hAnsi="Arial" w:cs="Arial"/>
                <w:color w:val="165788"/>
              </w:rPr>
              <w:t xml:space="preserve"> 2015/16 </w:t>
            </w:r>
            <w:r w:rsidR="00EC2B39" w:rsidRPr="003615FB">
              <w:rPr>
                <w:rFonts w:ascii="Arial" w:hAnsi="Arial" w:cs="Arial"/>
                <w:color w:val="165788"/>
              </w:rPr>
              <w:t xml:space="preserve">and 2016/17, </w:t>
            </w:r>
            <w:r w:rsidRPr="003615FB">
              <w:rPr>
                <w:rFonts w:ascii="Arial" w:hAnsi="Arial" w:cs="Arial"/>
                <w:color w:val="165788"/>
              </w:rPr>
              <w:t xml:space="preserve">publishing the assessment in summary through the Financial Statement of accounts submitted to the </w:t>
            </w:r>
            <w:r w:rsidR="007B474F">
              <w:rPr>
                <w:rFonts w:ascii="Arial" w:hAnsi="Arial" w:cs="Arial"/>
                <w:color w:val="165788"/>
              </w:rPr>
              <w:t>Regulator</w:t>
            </w:r>
            <w:r w:rsidRPr="003615FB">
              <w:rPr>
                <w:rFonts w:ascii="Arial" w:hAnsi="Arial" w:cs="Arial"/>
                <w:color w:val="165788"/>
              </w:rPr>
              <w:t xml:space="preserve"> and accessible in full on the bdht </w:t>
            </w:r>
            <w:hyperlink r:id="rId11" w:history="1">
              <w:r w:rsidRPr="003615FB">
                <w:rPr>
                  <w:rStyle w:val="Hyperlink"/>
                  <w:rFonts w:ascii="Arial" w:hAnsi="Arial" w:cs="Arial"/>
                  <w:color w:val="165788"/>
                </w:rPr>
                <w:t>website</w:t>
              </w:r>
            </w:hyperlink>
            <w:r w:rsidRPr="003615FB">
              <w:rPr>
                <w:rFonts w:ascii="Arial" w:hAnsi="Arial" w:cs="Arial"/>
                <w:color w:val="165788"/>
              </w:rPr>
              <w:t xml:space="preserve"> for customers and stakeholders.</w:t>
            </w:r>
          </w:p>
          <w:p w:rsidR="00E363B4" w:rsidRPr="00E12B05" w:rsidRDefault="00E363B4" w:rsidP="00E363B4">
            <w:pPr>
              <w:rPr>
                <w:rFonts w:ascii="Arial" w:hAnsi="Arial" w:cs="Arial"/>
                <w:color w:val="009B3A"/>
              </w:rPr>
            </w:pPr>
          </w:p>
          <w:p w:rsidR="00E363B4" w:rsidRPr="003615FB" w:rsidRDefault="00E363B4" w:rsidP="00E363B4">
            <w:pPr>
              <w:rPr>
                <w:rFonts w:ascii="Arial" w:hAnsi="Arial" w:cs="Arial"/>
                <w:color w:val="165788"/>
              </w:rPr>
            </w:pPr>
            <w:r w:rsidRPr="003615FB">
              <w:rPr>
                <w:rFonts w:ascii="Arial" w:hAnsi="Arial" w:cs="Arial"/>
                <w:color w:val="165788"/>
              </w:rPr>
              <w:t xml:space="preserve">These self-assessments were undertaken by the Compliance Committee and approved by Board. Regulatory feedback from the </w:t>
            </w:r>
            <w:r w:rsidR="005421BC" w:rsidRPr="003615FB">
              <w:rPr>
                <w:rFonts w:ascii="Arial" w:hAnsi="Arial" w:cs="Arial"/>
                <w:color w:val="165788"/>
              </w:rPr>
              <w:t xml:space="preserve">Regulator </w:t>
            </w:r>
            <w:r w:rsidRPr="003615FB">
              <w:rPr>
                <w:rFonts w:ascii="Arial" w:hAnsi="Arial" w:cs="Arial"/>
                <w:color w:val="165788"/>
              </w:rPr>
              <w:t xml:space="preserve">has been positive, assessments were considered to fully meet </w:t>
            </w:r>
            <w:r w:rsidR="003615FB" w:rsidRPr="003615FB">
              <w:rPr>
                <w:rFonts w:ascii="Arial" w:hAnsi="Arial" w:cs="Arial"/>
                <w:color w:val="165788"/>
              </w:rPr>
              <w:t>regulatory</w:t>
            </w:r>
            <w:r w:rsidRPr="003615FB">
              <w:rPr>
                <w:rFonts w:ascii="Arial" w:hAnsi="Arial" w:cs="Arial"/>
                <w:color w:val="165788"/>
              </w:rPr>
              <w:t xml:space="preserve"> requirements. </w:t>
            </w:r>
          </w:p>
          <w:p w:rsidR="002C1F97" w:rsidRPr="007D187B" w:rsidRDefault="002C1F97" w:rsidP="000D0E57">
            <w:pPr>
              <w:rPr>
                <w:rFonts w:ascii="Arial" w:hAnsi="Arial" w:cs="Arial"/>
                <w:color w:val="42145F"/>
              </w:rPr>
            </w:pPr>
          </w:p>
        </w:tc>
      </w:tr>
      <w:tr w:rsidR="000C2D93" w:rsidRPr="007C4B1F" w:rsidTr="004860DD">
        <w:trPr>
          <w:trHeight w:val="454"/>
        </w:trPr>
        <w:tc>
          <w:tcPr>
            <w:tcW w:w="14029" w:type="dxa"/>
            <w:gridSpan w:val="2"/>
            <w:shd w:val="clear" w:color="auto" w:fill="165788"/>
            <w:vAlign w:val="center"/>
          </w:tcPr>
          <w:p w:rsidR="000C2D93" w:rsidRPr="000F6206" w:rsidRDefault="000C2D93" w:rsidP="00BE57E9">
            <w:pPr>
              <w:rPr>
                <w:rFonts w:ascii="Arial" w:hAnsi="Arial" w:cs="Arial"/>
                <w:color w:val="FFFFFF" w:themeColor="background1"/>
              </w:rPr>
            </w:pPr>
            <w:r w:rsidRPr="000F6206">
              <w:rPr>
                <w:rFonts w:ascii="Arial" w:hAnsi="Arial" w:cs="Arial"/>
                <w:b/>
                <w:color w:val="FFFFFF" w:themeColor="background1"/>
              </w:rPr>
              <w:t>Recommendations for Improvement</w:t>
            </w:r>
          </w:p>
        </w:tc>
      </w:tr>
      <w:tr w:rsidR="000273F9" w:rsidRPr="00F37308" w:rsidTr="004860DD">
        <w:trPr>
          <w:trHeight w:val="514"/>
        </w:trPr>
        <w:tc>
          <w:tcPr>
            <w:tcW w:w="14029" w:type="dxa"/>
            <w:gridSpan w:val="2"/>
            <w:shd w:val="clear" w:color="auto" w:fill="auto"/>
            <w:vAlign w:val="center"/>
          </w:tcPr>
          <w:p w:rsidR="003615FB" w:rsidRPr="003615FB" w:rsidRDefault="003615FB" w:rsidP="003615FB">
            <w:pPr>
              <w:pStyle w:val="ListParagraph"/>
              <w:numPr>
                <w:ilvl w:val="1"/>
                <w:numId w:val="30"/>
              </w:numPr>
              <w:ind w:left="313" w:hanging="284"/>
              <w:rPr>
                <w:rFonts w:ascii="Arial" w:hAnsi="Arial" w:cs="Arial"/>
                <w:color w:val="165788"/>
              </w:rPr>
            </w:pPr>
            <w:r w:rsidRPr="003615FB">
              <w:rPr>
                <w:rFonts w:ascii="Arial" w:hAnsi="Arial" w:cs="Arial"/>
                <w:color w:val="165788"/>
              </w:rPr>
              <w:t>Implement revised reporting mechanisms and metrics following publication of the revised VfM Standard in April 2018.</w:t>
            </w:r>
          </w:p>
          <w:p w:rsidR="000273F9" w:rsidRPr="003615FB" w:rsidRDefault="007B474F" w:rsidP="007B474F">
            <w:pPr>
              <w:pStyle w:val="ListParagraph"/>
              <w:numPr>
                <w:ilvl w:val="1"/>
                <w:numId w:val="30"/>
              </w:numPr>
              <w:ind w:left="313" w:hanging="284"/>
              <w:rPr>
                <w:rFonts w:ascii="Arial" w:hAnsi="Arial" w:cs="Arial"/>
                <w:color w:val="165788"/>
              </w:rPr>
            </w:pPr>
            <w:r>
              <w:rPr>
                <w:rFonts w:ascii="Arial" w:hAnsi="Arial" w:cs="Arial"/>
                <w:color w:val="165788"/>
              </w:rPr>
              <w:t>Bi-annual r</w:t>
            </w:r>
            <w:r w:rsidR="003615FB" w:rsidRPr="003615FB">
              <w:rPr>
                <w:rFonts w:ascii="Arial" w:hAnsi="Arial" w:cs="Arial"/>
                <w:color w:val="165788"/>
              </w:rPr>
              <w:t xml:space="preserve">eview </w:t>
            </w:r>
            <w:r>
              <w:rPr>
                <w:rFonts w:ascii="Arial" w:hAnsi="Arial" w:cs="Arial"/>
                <w:color w:val="165788"/>
              </w:rPr>
              <w:t xml:space="preserve">of </w:t>
            </w:r>
            <w:r w:rsidR="003615FB" w:rsidRPr="003615FB">
              <w:rPr>
                <w:rFonts w:ascii="Arial" w:hAnsi="Arial" w:cs="Arial"/>
                <w:color w:val="165788"/>
              </w:rPr>
              <w:t xml:space="preserve">VfM Strategy </w:t>
            </w:r>
          </w:p>
        </w:tc>
      </w:tr>
    </w:tbl>
    <w:p w:rsidR="006D2A02" w:rsidRDefault="006D2A02">
      <w:pPr>
        <w:rPr>
          <w:rFonts w:ascii="Arial" w:hAnsi="Arial" w:cs="Arial"/>
        </w:rPr>
      </w:pPr>
    </w:p>
    <w:p w:rsidR="00BC1894" w:rsidRDefault="00BC1894">
      <w:pPr>
        <w:rPr>
          <w:rFonts w:ascii="Arial" w:hAnsi="Arial" w:cs="Arial"/>
        </w:rPr>
      </w:pPr>
      <w:r>
        <w:rPr>
          <w:rFonts w:ascii="Arial" w:hAnsi="Arial" w:cs="Arial"/>
        </w:rPr>
        <w:br w:type="page"/>
      </w:r>
    </w:p>
    <w:p w:rsidR="00BC1894" w:rsidRDefault="00BC1894">
      <w:pPr>
        <w:rPr>
          <w:rFonts w:ascii="Arial" w:hAnsi="Arial" w:cs="Arial"/>
        </w:rPr>
      </w:pPr>
    </w:p>
    <w:tbl>
      <w:tblPr>
        <w:tblW w:w="14029" w:type="dxa"/>
        <w:tblBorders>
          <w:top w:val="single" w:sz="4" w:space="0" w:color="165788"/>
          <w:left w:val="single" w:sz="4" w:space="0" w:color="165788"/>
          <w:bottom w:val="single" w:sz="4" w:space="0" w:color="165788"/>
          <w:right w:val="single" w:sz="4" w:space="0" w:color="165788"/>
          <w:insideH w:val="single" w:sz="4" w:space="0" w:color="165788"/>
          <w:insideV w:val="single" w:sz="4" w:space="0" w:color="165788"/>
        </w:tblBorders>
        <w:tblLook w:val="04A0" w:firstRow="1" w:lastRow="0" w:firstColumn="1" w:lastColumn="0" w:noHBand="0" w:noVBand="1"/>
      </w:tblPr>
      <w:tblGrid>
        <w:gridCol w:w="1611"/>
        <w:gridCol w:w="948"/>
        <w:gridCol w:w="11470"/>
      </w:tblGrid>
      <w:tr w:rsidR="00401BE6" w:rsidRPr="007C4B1F" w:rsidTr="004860DD">
        <w:trPr>
          <w:trHeight w:val="848"/>
        </w:trPr>
        <w:tc>
          <w:tcPr>
            <w:tcW w:w="2559" w:type="dxa"/>
            <w:gridSpan w:val="2"/>
            <w:tcBorders>
              <w:bottom w:val="single" w:sz="4" w:space="0" w:color="FFFFFF" w:themeColor="background1"/>
              <w:right w:val="single" w:sz="4" w:space="0" w:color="FFFFFF" w:themeColor="background1"/>
            </w:tcBorders>
            <w:shd w:val="clear" w:color="auto" w:fill="165788"/>
            <w:vAlign w:val="center"/>
          </w:tcPr>
          <w:p w:rsidR="00401BE6" w:rsidRPr="00401BE6" w:rsidRDefault="00401BE6" w:rsidP="00401BE6">
            <w:pPr>
              <w:rPr>
                <w:rFonts w:ascii="Arial" w:hAnsi="Arial" w:cs="Arial"/>
                <w:b/>
                <w:color w:val="FFFFFF"/>
                <w:sz w:val="28"/>
                <w:szCs w:val="28"/>
              </w:rPr>
            </w:pPr>
            <w:r w:rsidRPr="00401BE6">
              <w:rPr>
                <w:rFonts w:ascii="Arial" w:hAnsi="Arial" w:cs="Arial"/>
                <w:b/>
                <w:color w:val="FFFFFF"/>
                <w:sz w:val="28"/>
                <w:szCs w:val="28"/>
              </w:rPr>
              <w:t>Standard</w:t>
            </w:r>
          </w:p>
        </w:tc>
        <w:tc>
          <w:tcPr>
            <w:tcW w:w="11470" w:type="dxa"/>
            <w:tcBorders>
              <w:left w:val="single" w:sz="4" w:space="0" w:color="FFFFFF" w:themeColor="background1"/>
              <w:bottom w:val="single" w:sz="4" w:space="0" w:color="FFFFFF" w:themeColor="background1"/>
            </w:tcBorders>
            <w:shd w:val="clear" w:color="auto" w:fill="165788"/>
            <w:vAlign w:val="center"/>
          </w:tcPr>
          <w:p w:rsidR="00401BE6" w:rsidRPr="00401BE6" w:rsidRDefault="00401BE6" w:rsidP="00401BE6">
            <w:pPr>
              <w:rPr>
                <w:rFonts w:ascii="Arial" w:hAnsi="Arial" w:cs="Arial"/>
                <w:b/>
                <w:color w:val="FFFFFF"/>
                <w:sz w:val="28"/>
                <w:szCs w:val="28"/>
              </w:rPr>
            </w:pPr>
            <w:r>
              <w:rPr>
                <w:rFonts w:ascii="Arial" w:hAnsi="Arial" w:cs="Arial"/>
                <w:b/>
                <w:color w:val="FFFFFF"/>
                <w:sz w:val="28"/>
                <w:szCs w:val="28"/>
              </w:rPr>
              <w:t>Rents</w:t>
            </w:r>
            <w:r w:rsidRPr="00401BE6">
              <w:rPr>
                <w:rFonts w:ascii="Arial" w:hAnsi="Arial" w:cs="Arial"/>
                <w:b/>
                <w:color w:val="FFFFFF"/>
                <w:sz w:val="28"/>
                <w:szCs w:val="28"/>
              </w:rPr>
              <w:t xml:space="preserve"> Standard</w:t>
            </w:r>
          </w:p>
        </w:tc>
      </w:tr>
      <w:tr w:rsidR="00401BE6" w:rsidRPr="007C4B1F" w:rsidTr="004860DD">
        <w:trPr>
          <w:trHeight w:val="680"/>
        </w:trPr>
        <w:tc>
          <w:tcPr>
            <w:tcW w:w="14029" w:type="dxa"/>
            <w:gridSpan w:val="3"/>
            <w:tcBorders>
              <w:top w:val="single" w:sz="4" w:space="0" w:color="FFFFFF" w:themeColor="background1"/>
            </w:tcBorders>
            <w:shd w:val="clear" w:color="auto" w:fill="165788"/>
            <w:vAlign w:val="center"/>
          </w:tcPr>
          <w:p w:rsidR="00401BE6" w:rsidRPr="000F6206" w:rsidRDefault="006F6043" w:rsidP="00401BE6">
            <w:pPr>
              <w:pStyle w:val="NormalWeb"/>
              <w:rPr>
                <w:rFonts w:ascii="Arial" w:hAnsi="Arial" w:cs="Arial"/>
                <w:color w:val="FFFFFF" w:themeColor="background1"/>
              </w:rPr>
            </w:pPr>
            <w:r w:rsidRPr="000F6206">
              <w:rPr>
                <w:rFonts w:ascii="Arial" w:hAnsi="Arial" w:cs="Arial"/>
                <w:b/>
                <w:color w:val="FFFFFF" w:themeColor="background1"/>
              </w:rPr>
              <w:t xml:space="preserve">1 </w:t>
            </w:r>
            <w:r w:rsidR="00401BE6" w:rsidRPr="000F6206">
              <w:rPr>
                <w:rFonts w:ascii="Arial" w:hAnsi="Arial" w:cs="Arial"/>
                <w:b/>
                <w:color w:val="FFFFFF" w:themeColor="background1"/>
              </w:rPr>
              <w:t>Required Outcomes</w:t>
            </w:r>
          </w:p>
        </w:tc>
      </w:tr>
      <w:tr w:rsidR="00401BE6" w:rsidRPr="007C4B1F" w:rsidTr="004860DD">
        <w:tc>
          <w:tcPr>
            <w:tcW w:w="14029" w:type="dxa"/>
            <w:gridSpan w:val="3"/>
            <w:shd w:val="clear" w:color="auto" w:fill="auto"/>
          </w:tcPr>
          <w:p w:rsidR="00401BE6" w:rsidRPr="006F6043" w:rsidRDefault="00401BE6" w:rsidP="006F6043">
            <w:pPr>
              <w:pStyle w:val="NormalWeb"/>
              <w:rPr>
                <w:rFonts w:ascii="Arial" w:hAnsi="Arial" w:cs="Arial"/>
                <w:b/>
              </w:rPr>
            </w:pPr>
            <w:r w:rsidRPr="006F6043">
              <w:rPr>
                <w:rFonts w:ascii="Arial" w:hAnsi="Arial" w:cs="Arial"/>
                <w:b/>
              </w:rPr>
              <w:t>Registered providers</w:t>
            </w:r>
            <w:r w:rsidR="006F6043" w:rsidRPr="006F6043">
              <w:rPr>
                <w:rFonts w:ascii="Arial" w:hAnsi="Arial" w:cs="Arial"/>
                <w:b/>
              </w:rPr>
              <w:t>’</w:t>
            </w:r>
            <w:r w:rsidRPr="006F6043">
              <w:rPr>
                <w:rFonts w:ascii="Arial" w:hAnsi="Arial" w:cs="Arial"/>
                <w:b/>
              </w:rPr>
              <w:t xml:space="preserve"> shall charge rents in accordance with the objectives and framework set out in the government's direction to the regulator of </w:t>
            </w:r>
            <w:r w:rsidR="006F6043" w:rsidRPr="006F6043">
              <w:rPr>
                <w:rFonts w:ascii="Arial" w:hAnsi="Arial" w:cs="Arial"/>
                <w:b/>
              </w:rPr>
              <w:t>May 2014 and the Rent Standard Guidance</w:t>
            </w:r>
            <w:r w:rsidRPr="006F6043">
              <w:rPr>
                <w:rFonts w:ascii="Arial" w:hAnsi="Arial" w:cs="Arial"/>
                <w:b/>
              </w:rPr>
              <w:t>.</w:t>
            </w:r>
          </w:p>
        </w:tc>
      </w:tr>
      <w:tr w:rsidR="00401BE6" w:rsidRPr="007C4B1F" w:rsidTr="004860DD">
        <w:trPr>
          <w:trHeight w:val="680"/>
        </w:trPr>
        <w:tc>
          <w:tcPr>
            <w:tcW w:w="14029" w:type="dxa"/>
            <w:gridSpan w:val="3"/>
            <w:shd w:val="clear" w:color="auto" w:fill="165788"/>
            <w:vAlign w:val="center"/>
          </w:tcPr>
          <w:p w:rsidR="00401BE6" w:rsidRPr="000F6206" w:rsidRDefault="006F6043" w:rsidP="00401BE6">
            <w:pPr>
              <w:ind w:left="34" w:hanging="34"/>
              <w:rPr>
                <w:rFonts w:ascii="Arial" w:hAnsi="Arial" w:cs="Arial"/>
                <w:b/>
                <w:color w:val="FFFFFF" w:themeColor="background1"/>
              </w:rPr>
            </w:pPr>
            <w:r w:rsidRPr="000F6206">
              <w:rPr>
                <w:rFonts w:ascii="Arial" w:hAnsi="Arial" w:cs="Arial"/>
                <w:b/>
                <w:color w:val="FFFFFF" w:themeColor="background1"/>
              </w:rPr>
              <w:t xml:space="preserve">2 </w:t>
            </w:r>
            <w:r w:rsidR="00401BE6" w:rsidRPr="000F6206">
              <w:rPr>
                <w:rFonts w:ascii="Arial" w:hAnsi="Arial" w:cs="Arial"/>
                <w:b/>
                <w:color w:val="FFFFFF" w:themeColor="background1"/>
              </w:rPr>
              <w:t>Specific Requirements</w:t>
            </w:r>
          </w:p>
        </w:tc>
      </w:tr>
      <w:tr w:rsidR="006F6043" w:rsidRPr="007C4B1F" w:rsidTr="004860DD">
        <w:trPr>
          <w:trHeight w:val="766"/>
        </w:trPr>
        <w:tc>
          <w:tcPr>
            <w:tcW w:w="1611" w:type="dxa"/>
            <w:shd w:val="clear" w:color="auto" w:fill="auto"/>
            <w:vAlign w:val="center"/>
          </w:tcPr>
          <w:p w:rsidR="006F6043" w:rsidRDefault="006F6043" w:rsidP="006F6043">
            <w:pPr>
              <w:ind w:left="34" w:hanging="34"/>
              <w:jc w:val="center"/>
              <w:rPr>
                <w:rFonts w:ascii="Arial" w:hAnsi="Arial" w:cs="Arial"/>
                <w:b/>
              </w:rPr>
            </w:pPr>
            <w:r>
              <w:rPr>
                <w:rFonts w:ascii="Arial" w:hAnsi="Arial" w:cs="Arial"/>
                <w:b/>
              </w:rPr>
              <w:t>2.1</w:t>
            </w:r>
          </w:p>
        </w:tc>
        <w:tc>
          <w:tcPr>
            <w:tcW w:w="12418" w:type="dxa"/>
            <w:gridSpan w:val="2"/>
            <w:shd w:val="clear" w:color="auto" w:fill="auto"/>
            <w:vAlign w:val="center"/>
          </w:tcPr>
          <w:p w:rsidR="006F6043" w:rsidRPr="006F6043" w:rsidRDefault="006F6043" w:rsidP="006F6043">
            <w:pPr>
              <w:pStyle w:val="NormalWeb"/>
              <w:rPr>
                <w:rFonts w:ascii="Arial" w:hAnsi="Arial" w:cs="Arial"/>
                <w:b/>
              </w:rPr>
            </w:pPr>
            <w:r w:rsidRPr="006F6043">
              <w:rPr>
                <w:rFonts w:ascii="Arial" w:hAnsi="Arial" w:cs="Arial"/>
                <w:b/>
              </w:rPr>
              <w:t>Registered providers shall ensure they meet the following requirements, which derive from the government's direction to the regulator of May 2014, and the 'key requirements' set out in the Rent Standard Guidance that accompanies this standard.</w:t>
            </w:r>
          </w:p>
        </w:tc>
      </w:tr>
      <w:tr w:rsidR="0041742A" w:rsidTr="004860DD">
        <w:trPr>
          <w:trHeight w:val="766"/>
        </w:trPr>
        <w:tc>
          <w:tcPr>
            <w:tcW w:w="14029" w:type="dxa"/>
            <w:gridSpan w:val="3"/>
            <w:shd w:val="clear" w:color="auto" w:fill="165788"/>
            <w:vAlign w:val="center"/>
          </w:tcPr>
          <w:p w:rsidR="0041742A" w:rsidRPr="006D3E80" w:rsidRDefault="0041742A" w:rsidP="0074519F">
            <w:pPr>
              <w:ind w:left="34" w:hanging="34"/>
              <w:rPr>
                <w:rFonts w:ascii="Arial" w:hAnsi="Arial" w:cs="Arial"/>
                <w:b/>
                <w:color w:val="FFFFFF" w:themeColor="background1"/>
              </w:rPr>
            </w:pPr>
            <w:r w:rsidRPr="006D3E80">
              <w:rPr>
                <w:rFonts w:ascii="Arial" w:hAnsi="Arial" w:cs="Arial"/>
                <w:b/>
                <w:color w:val="FFFFFF" w:themeColor="background1"/>
              </w:rPr>
              <w:t>Bdht Compliance Position</w:t>
            </w:r>
            <w:r w:rsidR="000A51E7" w:rsidRPr="006D3E80">
              <w:rPr>
                <w:rFonts w:ascii="Arial" w:hAnsi="Arial" w:cs="Arial"/>
                <w:b/>
                <w:color w:val="FFFFFF" w:themeColor="background1"/>
              </w:rPr>
              <w:t>: Compliant</w:t>
            </w:r>
          </w:p>
        </w:tc>
      </w:tr>
      <w:tr w:rsidR="0041742A" w:rsidTr="004860DD">
        <w:trPr>
          <w:trHeight w:val="766"/>
        </w:trPr>
        <w:tc>
          <w:tcPr>
            <w:tcW w:w="14029" w:type="dxa"/>
            <w:gridSpan w:val="3"/>
            <w:shd w:val="clear" w:color="auto" w:fill="auto"/>
            <w:vAlign w:val="center"/>
          </w:tcPr>
          <w:p w:rsidR="0041742A" w:rsidRPr="006D3E80" w:rsidRDefault="000A51E7" w:rsidP="00137197">
            <w:pPr>
              <w:ind w:left="34" w:hanging="34"/>
              <w:rPr>
                <w:rFonts w:ascii="Arial" w:hAnsi="Arial" w:cs="Arial"/>
                <w:color w:val="165788"/>
              </w:rPr>
            </w:pPr>
            <w:r w:rsidRPr="006D3E80">
              <w:rPr>
                <w:rFonts w:ascii="Arial" w:hAnsi="Arial" w:cs="Arial"/>
                <w:color w:val="165788"/>
              </w:rPr>
              <w:t xml:space="preserve">Rents are reviewed annually by Board in accordance with the Rent Standard Guidance. Rents were last reviewed by Board on the </w:t>
            </w:r>
            <w:r w:rsidR="006D3E80" w:rsidRPr="006D3E80">
              <w:rPr>
                <w:rFonts w:ascii="Arial" w:hAnsi="Arial" w:cs="Arial"/>
                <w:color w:val="165788"/>
              </w:rPr>
              <w:t>7</w:t>
            </w:r>
            <w:r w:rsidRPr="006D3E80">
              <w:rPr>
                <w:rFonts w:ascii="Arial" w:hAnsi="Arial" w:cs="Arial"/>
                <w:color w:val="165788"/>
                <w:vertAlign w:val="superscript"/>
              </w:rPr>
              <w:t>th</w:t>
            </w:r>
            <w:r w:rsidRPr="006D3E80">
              <w:rPr>
                <w:rFonts w:ascii="Arial" w:hAnsi="Arial" w:cs="Arial"/>
                <w:color w:val="165788"/>
              </w:rPr>
              <w:t xml:space="preserve"> </w:t>
            </w:r>
            <w:r w:rsidR="00137197" w:rsidRPr="006D3E80">
              <w:rPr>
                <w:rFonts w:ascii="Arial" w:hAnsi="Arial" w:cs="Arial"/>
                <w:color w:val="165788"/>
              </w:rPr>
              <w:t>December</w:t>
            </w:r>
            <w:r w:rsidRPr="006D3E80">
              <w:rPr>
                <w:rFonts w:ascii="Arial" w:hAnsi="Arial" w:cs="Arial"/>
                <w:color w:val="165788"/>
              </w:rPr>
              <w:t xml:space="preserve"> 201</w:t>
            </w:r>
            <w:r w:rsidR="006D3E80" w:rsidRPr="006D3E80">
              <w:rPr>
                <w:rFonts w:ascii="Arial" w:hAnsi="Arial" w:cs="Arial"/>
                <w:color w:val="165788"/>
              </w:rPr>
              <w:t>7</w:t>
            </w:r>
            <w:r w:rsidRPr="006D3E80">
              <w:rPr>
                <w:rFonts w:ascii="Arial" w:hAnsi="Arial" w:cs="Arial"/>
                <w:color w:val="165788"/>
              </w:rPr>
              <w:t xml:space="preserve"> for the period </w:t>
            </w:r>
            <w:r w:rsidR="006D3E80" w:rsidRPr="006D3E80">
              <w:rPr>
                <w:rFonts w:ascii="Arial" w:hAnsi="Arial" w:cs="Arial"/>
                <w:color w:val="165788"/>
              </w:rPr>
              <w:t>2nd</w:t>
            </w:r>
            <w:r w:rsidRPr="006D3E80">
              <w:rPr>
                <w:rFonts w:ascii="Arial" w:hAnsi="Arial" w:cs="Arial"/>
                <w:color w:val="165788"/>
              </w:rPr>
              <w:t xml:space="preserve"> April 201</w:t>
            </w:r>
            <w:r w:rsidR="006D3E80" w:rsidRPr="006D3E80">
              <w:rPr>
                <w:rFonts w:ascii="Arial" w:hAnsi="Arial" w:cs="Arial"/>
                <w:color w:val="165788"/>
              </w:rPr>
              <w:t>8</w:t>
            </w:r>
            <w:r w:rsidRPr="006D3E80">
              <w:rPr>
                <w:rFonts w:ascii="Arial" w:hAnsi="Arial" w:cs="Arial"/>
                <w:color w:val="165788"/>
              </w:rPr>
              <w:t xml:space="preserve"> to </w:t>
            </w:r>
            <w:r w:rsidR="006D3E80" w:rsidRPr="006D3E80">
              <w:rPr>
                <w:rFonts w:ascii="Arial" w:hAnsi="Arial" w:cs="Arial"/>
                <w:color w:val="165788"/>
              </w:rPr>
              <w:t>3</w:t>
            </w:r>
            <w:r w:rsidR="005D3933" w:rsidRPr="006D3E80">
              <w:rPr>
                <w:rFonts w:ascii="Arial" w:hAnsi="Arial" w:cs="Arial"/>
                <w:color w:val="165788"/>
              </w:rPr>
              <w:t>1</w:t>
            </w:r>
            <w:r w:rsidR="005D3933" w:rsidRPr="006D3E80">
              <w:rPr>
                <w:rFonts w:ascii="Arial" w:hAnsi="Arial" w:cs="Arial"/>
                <w:color w:val="165788"/>
                <w:vertAlign w:val="superscript"/>
              </w:rPr>
              <w:t>st</w:t>
            </w:r>
            <w:r w:rsidR="005D3933" w:rsidRPr="006D3E80">
              <w:rPr>
                <w:rFonts w:ascii="Arial" w:hAnsi="Arial" w:cs="Arial"/>
                <w:color w:val="165788"/>
              </w:rPr>
              <w:t xml:space="preserve"> </w:t>
            </w:r>
            <w:r w:rsidR="006D3E80" w:rsidRPr="006D3E80">
              <w:rPr>
                <w:rFonts w:ascii="Arial" w:hAnsi="Arial" w:cs="Arial"/>
                <w:color w:val="165788"/>
              </w:rPr>
              <w:t>March</w:t>
            </w:r>
            <w:r w:rsidRPr="006D3E80">
              <w:rPr>
                <w:rFonts w:ascii="Arial" w:hAnsi="Arial" w:cs="Arial"/>
                <w:color w:val="165788"/>
              </w:rPr>
              <w:t xml:space="preserve"> 201</w:t>
            </w:r>
            <w:r w:rsidR="006D3E80" w:rsidRPr="006D3E80">
              <w:rPr>
                <w:rFonts w:ascii="Arial" w:hAnsi="Arial" w:cs="Arial"/>
                <w:color w:val="165788"/>
              </w:rPr>
              <w:t>9</w:t>
            </w:r>
            <w:r w:rsidRPr="006D3E80">
              <w:rPr>
                <w:rFonts w:ascii="Arial" w:hAnsi="Arial" w:cs="Arial"/>
                <w:color w:val="165788"/>
              </w:rPr>
              <w:t xml:space="preserve">. The Guidance requires that rents are only increased by CPI for the preceding September plus 1%. </w:t>
            </w:r>
          </w:p>
          <w:p w:rsidR="00DB5E3B" w:rsidRPr="00515C7A" w:rsidRDefault="00DB5E3B" w:rsidP="00137197">
            <w:pPr>
              <w:ind w:left="34" w:hanging="34"/>
              <w:rPr>
                <w:rFonts w:ascii="Arial" w:hAnsi="Arial" w:cs="Arial"/>
                <w:color w:val="009B3A"/>
              </w:rPr>
            </w:pPr>
          </w:p>
          <w:p w:rsidR="00DB5E3B" w:rsidRPr="006D3E80" w:rsidRDefault="006D3E80" w:rsidP="00515C7A">
            <w:pPr>
              <w:ind w:left="34" w:hanging="34"/>
              <w:rPr>
                <w:rFonts w:ascii="Arial" w:hAnsi="Arial" w:cs="Arial"/>
                <w:color w:val="165788"/>
                <w:shd w:val="clear" w:color="auto" w:fill="FFFFFF"/>
              </w:rPr>
            </w:pPr>
            <w:r w:rsidRPr="006D3E80">
              <w:rPr>
                <w:rFonts w:ascii="Arial" w:hAnsi="Arial" w:cs="Arial"/>
                <w:color w:val="165788"/>
              </w:rPr>
              <w:t>Subsequent to the</w:t>
            </w:r>
            <w:r w:rsidR="00DB5E3B" w:rsidRPr="006D3E80">
              <w:rPr>
                <w:rFonts w:ascii="Arial" w:hAnsi="Arial" w:cs="Arial"/>
                <w:color w:val="165788"/>
              </w:rPr>
              <w:t xml:space="preserve"> publication of the Rent Standard and Rent Standard Guidance in April 2015 the Government’s direction to the Regulator has been varied by the </w:t>
            </w:r>
            <w:r w:rsidR="00DB5E3B" w:rsidRPr="006D3E80">
              <w:rPr>
                <w:rFonts w:ascii="Arial" w:hAnsi="Arial" w:cs="Arial"/>
                <w:color w:val="165788"/>
                <w:shd w:val="clear" w:color="auto" w:fill="FFFFFF"/>
              </w:rPr>
              <w:t xml:space="preserve">Welfare Reform &amp; Work Act 2016 and accompanying regulations. The </w:t>
            </w:r>
            <w:r w:rsidR="00515C7A" w:rsidRPr="006D3E80">
              <w:rPr>
                <w:rFonts w:ascii="Arial" w:hAnsi="Arial" w:cs="Arial"/>
                <w:color w:val="165788"/>
                <w:shd w:val="clear" w:color="auto" w:fill="FFFFFF"/>
              </w:rPr>
              <w:t>B</w:t>
            </w:r>
            <w:r w:rsidR="00DB5E3B" w:rsidRPr="006D3E80">
              <w:rPr>
                <w:rFonts w:ascii="Arial" w:hAnsi="Arial" w:cs="Arial"/>
                <w:color w:val="165788"/>
                <w:shd w:val="clear" w:color="auto" w:fill="FFFFFF"/>
              </w:rPr>
              <w:t>oard has, therefore, complied with the requirements of the Rent standard, except where these requirements have been varied the Welfare Reform &amp; Work Act 2016 when the Board has ensured compliance with the Act and associated regulations.</w:t>
            </w:r>
          </w:p>
          <w:p w:rsidR="00515C7A" w:rsidRPr="006D3E80" w:rsidRDefault="00515C7A" w:rsidP="00515C7A">
            <w:pPr>
              <w:ind w:left="34" w:hanging="34"/>
              <w:rPr>
                <w:rFonts w:ascii="Arial" w:hAnsi="Arial" w:cs="Arial"/>
                <w:color w:val="165788"/>
                <w:shd w:val="clear" w:color="auto" w:fill="FFFFFF"/>
              </w:rPr>
            </w:pPr>
          </w:p>
          <w:p w:rsidR="00515C7A" w:rsidRPr="007D187B" w:rsidRDefault="00515C7A" w:rsidP="00515C7A">
            <w:pPr>
              <w:ind w:left="34" w:hanging="34"/>
              <w:rPr>
                <w:rFonts w:ascii="Arial" w:hAnsi="Arial" w:cs="Arial"/>
                <w:b/>
                <w:color w:val="42145F"/>
              </w:rPr>
            </w:pPr>
            <w:r w:rsidRPr="006D3E80">
              <w:rPr>
                <w:rFonts w:ascii="Arial" w:hAnsi="Arial" w:cs="Arial"/>
                <w:color w:val="165788"/>
                <w:shd w:val="clear" w:color="auto" w:fill="FFFFFF"/>
              </w:rPr>
              <w:t xml:space="preserve">The Compliance Committee commissioned Beever &amp; Struthers (Internal Audit) to complete an assurance review of the bdht rent setting process to ensure compliance with these changes to the rent setting regime. The Internal Audit provided Board with a high range “substantial” level of assurance in regard to rent setting 2016/17.  </w:t>
            </w:r>
            <w:r w:rsidR="006D3E80">
              <w:rPr>
                <w:rFonts w:ascii="Arial" w:hAnsi="Arial" w:cs="Arial"/>
                <w:color w:val="165788"/>
                <w:shd w:val="clear" w:color="auto" w:fill="FFFFFF"/>
              </w:rPr>
              <w:t>The same process in rent setting was adhered to during 2017/18</w:t>
            </w:r>
          </w:p>
        </w:tc>
      </w:tr>
      <w:tr w:rsidR="006F6043" w:rsidRPr="007C4B1F" w:rsidTr="004860DD">
        <w:trPr>
          <w:trHeight w:val="766"/>
        </w:trPr>
        <w:tc>
          <w:tcPr>
            <w:tcW w:w="1611" w:type="dxa"/>
            <w:shd w:val="clear" w:color="auto" w:fill="auto"/>
            <w:vAlign w:val="center"/>
          </w:tcPr>
          <w:p w:rsidR="006F6043" w:rsidRDefault="006F6043" w:rsidP="006F6043">
            <w:pPr>
              <w:ind w:left="34" w:hanging="34"/>
              <w:jc w:val="center"/>
              <w:rPr>
                <w:rFonts w:ascii="Arial" w:hAnsi="Arial" w:cs="Arial"/>
                <w:b/>
              </w:rPr>
            </w:pPr>
            <w:r>
              <w:rPr>
                <w:rFonts w:ascii="Arial" w:hAnsi="Arial" w:cs="Arial"/>
                <w:b/>
              </w:rPr>
              <w:t>2.2</w:t>
            </w:r>
          </w:p>
        </w:tc>
        <w:tc>
          <w:tcPr>
            <w:tcW w:w="12418" w:type="dxa"/>
            <w:gridSpan w:val="2"/>
            <w:shd w:val="clear" w:color="auto" w:fill="auto"/>
            <w:vAlign w:val="center"/>
          </w:tcPr>
          <w:p w:rsidR="006F6043" w:rsidRPr="00EA544F" w:rsidRDefault="006F6043" w:rsidP="006F6043">
            <w:pPr>
              <w:pStyle w:val="NormalWeb"/>
              <w:rPr>
                <w:rFonts w:ascii="Arial" w:hAnsi="Arial" w:cs="Arial"/>
                <w:b/>
              </w:rPr>
            </w:pPr>
            <w:r w:rsidRPr="00EA544F">
              <w:rPr>
                <w:rFonts w:ascii="Arial" w:hAnsi="Arial" w:cs="Arial"/>
                <w:b/>
              </w:rPr>
              <w:t>Subject to paragraphs 2.3,2.5 and 2.6, registered providers shall set rents for low cost rental accommodation with a view to achieving the following:</w:t>
            </w:r>
          </w:p>
          <w:p w:rsidR="006F6043" w:rsidRPr="00EA544F" w:rsidRDefault="006F6043" w:rsidP="006F6043">
            <w:pPr>
              <w:pStyle w:val="NormalWeb"/>
              <w:rPr>
                <w:rFonts w:ascii="Arial" w:hAnsi="Arial" w:cs="Arial"/>
                <w:b/>
              </w:rPr>
            </w:pPr>
            <w:r w:rsidRPr="00EA544F">
              <w:rPr>
                <w:rFonts w:ascii="Arial" w:hAnsi="Arial" w:cs="Arial"/>
                <w:b/>
              </w:rPr>
              <w:t>(a)  Rents conform with the pattern produced by the rent formula set out in the Rent Guidance (formula rents) with a 5% upward tolerance on individual rents (10% for supported housing and sheltered housing) (“the limit of the rent flexibility level”), but subject to the maximum rent levels specified in that Guidance  ('rent caps').</w:t>
            </w:r>
          </w:p>
          <w:p w:rsidR="006F6043" w:rsidRPr="00EA544F" w:rsidRDefault="006F6043" w:rsidP="006F6043">
            <w:pPr>
              <w:pStyle w:val="NormalWeb"/>
              <w:rPr>
                <w:rFonts w:ascii="Arial" w:hAnsi="Arial" w:cs="Arial"/>
                <w:b/>
              </w:rPr>
            </w:pPr>
            <w:r w:rsidRPr="00EA544F">
              <w:rPr>
                <w:rFonts w:ascii="Arial" w:hAnsi="Arial" w:cs="Arial"/>
                <w:b/>
              </w:rPr>
              <w:t>(b) Weekly rent for accommodation increases each year by an amount which is no more than CPI + 1.0%,</w:t>
            </w:r>
          </w:p>
          <w:p w:rsidR="006F6043" w:rsidRPr="00EA544F" w:rsidRDefault="0041742A" w:rsidP="006F6043">
            <w:pPr>
              <w:pStyle w:val="NormalWeb"/>
              <w:rPr>
                <w:rFonts w:ascii="Arial" w:hAnsi="Arial" w:cs="Arial"/>
                <w:b/>
              </w:rPr>
            </w:pPr>
            <w:r w:rsidRPr="00EA544F">
              <w:rPr>
                <w:rFonts w:ascii="Arial" w:hAnsi="Arial" w:cs="Arial"/>
                <w:b/>
              </w:rPr>
              <w:t xml:space="preserve">(c) </w:t>
            </w:r>
            <w:r w:rsidR="006F6043" w:rsidRPr="00EA544F">
              <w:rPr>
                <w:rFonts w:ascii="Arial" w:hAnsi="Arial" w:cs="Arial"/>
                <w:b/>
              </w:rPr>
              <w:t xml:space="preserve">Weekly rent for accommodation </w:t>
            </w:r>
            <w:r w:rsidRPr="00EA544F">
              <w:rPr>
                <w:rFonts w:ascii="Arial" w:hAnsi="Arial" w:cs="Arial"/>
                <w:b/>
              </w:rPr>
              <w:t>which</w:t>
            </w:r>
            <w:r w:rsidR="006F6043" w:rsidRPr="00EA544F">
              <w:rPr>
                <w:rFonts w:ascii="Arial" w:hAnsi="Arial" w:cs="Arial"/>
                <w:b/>
              </w:rPr>
              <w:t xml:space="preserve"> is above the limit of the rent flexibility level increases each year by an amount </w:t>
            </w:r>
            <w:r w:rsidRPr="00EA544F">
              <w:rPr>
                <w:rFonts w:ascii="Arial" w:hAnsi="Arial" w:cs="Arial"/>
                <w:b/>
              </w:rPr>
              <w:t>which is less than CPI +1%, until it reaches the limit of the rent flexibility level,</w:t>
            </w:r>
          </w:p>
          <w:p w:rsidR="006F6043" w:rsidRPr="00EA544F" w:rsidRDefault="0041742A" w:rsidP="006F6043">
            <w:pPr>
              <w:pStyle w:val="NormalWeb"/>
              <w:rPr>
                <w:rFonts w:ascii="Arial" w:hAnsi="Arial" w:cs="Arial"/>
                <w:b/>
              </w:rPr>
            </w:pPr>
            <w:r w:rsidRPr="00EA544F">
              <w:rPr>
                <w:rFonts w:ascii="Arial" w:hAnsi="Arial" w:cs="Arial"/>
                <w:b/>
              </w:rPr>
              <w:t xml:space="preserve">(d) </w:t>
            </w:r>
            <w:r w:rsidR="006F6043" w:rsidRPr="00EA544F">
              <w:rPr>
                <w:rFonts w:ascii="Arial" w:hAnsi="Arial" w:cs="Arial"/>
                <w:b/>
              </w:rPr>
              <w:t xml:space="preserve">Rent caps increase annually by </w:t>
            </w:r>
            <w:r w:rsidRPr="00EA544F">
              <w:rPr>
                <w:rFonts w:ascii="Arial" w:hAnsi="Arial" w:cs="Arial"/>
                <w:b/>
              </w:rPr>
              <w:t>C</w:t>
            </w:r>
            <w:r w:rsidR="006F6043" w:rsidRPr="00EA544F">
              <w:rPr>
                <w:rFonts w:ascii="Arial" w:hAnsi="Arial" w:cs="Arial"/>
                <w:b/>
              </w:rPr>
              <w:t>PI + 1</w:t>
            </w:r>
            <w:r w:rsidRPr="00EA544F">
              <w:rPr>
                <w:rFonts w:ascii="Arial" w:hAnsi="Arial" w:cs="Arial"/>
                <w:b/>
              </w:rPr>
              <w:t>.5</w:t>
            </w:r>
            <w:r w:rsidR="006F6043" w:rsidRPr="00EA544F">
              <w:rPr>
                <w:rFonts w:ascii="Arial" w:hAnsi="Arial" w:cs="Arial"/>
                <w:b/>
              </w:rPr>
              <w:t>%.</w:t>
            </w:r>
          </w:p>
          <w:p w:rsidR="006F6043" w:rsidRPr="00EA544F" w:rsidRDefault="0041742A" w:rsidP="006F6043">
            <w:pPr>
              <w:rPr>
                <w:rFonts w:ascii="Arial" w:hAnsi="Arial" w:cs="Arial"/>
                <w:b/>
              </w:rPr>
            </w:pPr>
            <w:r w:rsidRPr="00EA544F">
              <w:rPr>
                <w:rFonts w:ascii="Arial" w:hAnsi="Arial" w:cs="Arial"/>
                <w:b/>
              </w:rPr>
              <w:t>(e) Formula</w:t>
            </w:r>
            <w:r w:rsidR="006F6043" w:rsidRPr="00EA544F">
              <w:rPr>
                <w:rFonts w:ascii="Arial" w:hAnsi="Arial" w:cs="Arial"/>
                <w:b/>
              </w:rPr>
              <w:t xml:space="preserve"> rents increase annually by </w:t>
            </w:r>
            <w:r w:rsidRPr="00EA544F">
              <w:rPr>
                <w:rFonts w:ascii="Arial" w:hAnsi="Arial" w:cs="Arial"/>
                <w:b/>
              </w:rPr>
              <w:t>C</w:t>
            </w:r>
            <w:r w:rsidR="006F6043" w:rsidRPr="00EA544F">
              <w:rPr>
                <w:rFonts w:ascii="Arial" w:hAnsi="Arial" w:cs="Arial"/>
                <w:b/>
              </w:rPr>
              <w:t xml:space="preserve">PI + </w:t>
            </w:r>
            <w:r w:rsidRPr="00EA544F">
              <w:rPr>
                <w:rFonts w:ascii="Arial" w:hAnsi="Arial" w:cs="Arial"/>
                <w:b/>
              </w:rPr>
              <w:t>1.0</w:t>
            </w:r>
            <w:r w:rsidR="006F6043" w:rsidRPr="00EA544F">
              <w:rPr>
                <w:rFonts w:ascii="Arial" w:hAnsi="Arial" w:cs="Arial"/>
                <w:b/>
              </w:rPr>
              <w:t>%.</w:t>
            </w:r>
          </w:p>
          <w:p w:rsidR="006F6043" w:rsidRPr="00EA544F" w:rsidRDefault="006F6043" w:rsidP="006F6043">
            <w:pPr>
              <w:ind w:left="34" w:hanging="34"/>
              <w:rPr>
                <w:rFonts w:ascii="Arial" w:hAnsi="Arial" w:cs="Arial"/>
                <w:b/>
              </w:rPr>
            </w:pPr>
          </w:p>
        </w:tc>
      </w:tr>
      <w:tr w:rsidR="004E74B5" w:rsidRPr="007C4B1F" w:rsidTr="004860DD">
        <w:trPr>
          <w:trHeight w:val="766"/>
        </w:trPr>
        <w:tc>
          <w:tcPr>
            <w:tcW w:w="14029" w:type="dxa"/>
            <w:gridSpan w:val="3"/>
            <w:shd w:val="clear" w:color="auto" w:fill="auto"/>
            <w:vAlign w:val="center"/>
          </w:tcPr>
          <w:p w:rsidR="00012B78" w:rsidRPr="00012B78" w:rsidRDefault="00012B78" w:rsidP="004E74B5">
            <w:pPr>
              <w:rPr>
                <w:rFonts w:ascii="Arial" w:hAnsi="Arial" w:cs="Arial"/>
                <w:b/>
                <w:color w:val="0B0C0C"/>
                <w:shd w:val="clear" w:color="auto" w:fill="FFFFFF"/>
              </w:rPr>
            </w:pPr>
            <w:r w:rsidRPr="00012B78">
              <w:rPr>
                <w:rFonts w:ascii="Arial" w:hAnsi="Arial" w:cs="Arial"/>
                <w:b/>
                <w:color w:val="0B0C0C"/>
                <w:shd w:val="clear" w:color="auto" w:fill="FFFFFF"/>
              </w:rPr>
              <w:t>The Welfare Reform &amp; Work Act 2016</w:t>
            </w:r>
          </w:p>
          <w:p w:rsidR="00012B78" w:rsidRDefault="00012B78" w:rsidP="004E74B5">
            <w:pPr>
              <w:rPr>
                <w:rFonts w:ascii="Arial" w:hAnsi="Arial" w:cs="Arial"/>
                <w:color w:val="0B0C0C"/>
                <w:shd w:val="clear" w:color="auto" w:fill="FFFFFF"/>
              </w:rPr>
            </w:pPr>
          </w:p>
          <w:p w:rsidR="004E74B5" w:rsidRPr="00DB5E3B" w:rsidRDefault="004E74B5" w:rsidP="004E74B5">
            <w:pPr>
              <w:rPr>
                <w:rFonts w:ascii="Arial" w:hAnsi="Arial" w:cs="Arial"/>
                <w:color w:val="0B0C0C"/>
                <w:shd w:val="clear" w:color="auto" w:fill="FFFFFF"/>
              </w:rPr>
            </w:pPr>
            <w:r w:rsidRPr="00DB5E3B">
              <w:rPr>
                <w:rFonts w:ascii="Arial" w:hAnsi="Arial" w:cs="Arial"/>
                <w:color w:val="0B0C0C"/>
                <w:shd w:val="clear" w:color="auto" w:fill="FFFFFF"/>
              </w:rPr>
              <w:t>The We</w:t>
            </w:r>
            <w:r>
              <w:rPr>
                <w:rFonts w:ascii="Arial" w:hAnsi="Arial" w:cs="Arial"/>
                <w:color w:val="0B0C0C"/>
                <w:shd w:val="clear" w:color="auto" w:fill="FFFFFF"/>
              </w:rPr>
              <w:t>l</w:t>
            </w:r>
            <w:r w:rsidRPr="00DB5E3B">
              <w:rPr>
                <w:rFonts w:ascii="Arial" w:hAnsi="Arial" w:cs="Arial"/>
                <w:color w:val="0B0C0C"/>
                <w:shd w:val="clear" w:color="auto" w:fill="FFFFFF"/>
              </w:rPr>
              <w:t>fare Reform &amp; Work Act 2016 requires registered providers of social housing in England to reduce social housing rents by 1% a year for 4 years from a frozen 2015 to 2016 baseline and to comply with maximum rent requirements for new tenancies.</w:t>
            </w:r>
          </w:p>
          <w:p w:rsidR="004E74B5" w:rsidRPr="00DB5E3B" w:rsidRDefault="004E74B5" w:rsidP="004E74B5">
            <w:pPr>
              <w:rPr>
                <w:rFonts w:ascii="Arial" w:hAnsi="Arial" w:cs="Arial"/>
                <w:color w:val="0B0C0C"/>
                <w:shd w:val="clear" w:color="auto" w:fill="FFFFFF"/>
              </w:rPr>
            </w:pPr>
          </w:p>
          <w:p w:rsidR="004E74B5" w:rsidRPr="00DB5E3B" w:rsidRDefault="004E74B5" w:rsidP="004E74B5">
            <w:pPr>
              <w:rPr>
                <w:rFonts w:ascii="Arial" w:hAnsi="Arial" w:cs="Arial"/>
                <w:color w:val="0B0C0C"/>
                <w:shd w:val="clear" w:color="auto" w:fill="FFFFFF"/>
              </w:rPr>
            </w:pPr>
            <w:r w:rsidRPr="00DB5E3B">
              <w:rPr>
                <w:rFonts w:ascii="Arial" w:hAnsi="Arial" w:cs="Arial"/>
                <w:color w:val="0B0C0C"/>
                <w:shd w:val="clear" w:color="auto" w:fill="FFFFFF"/>
              </w:rPr>
              <w:t>The Social Housing Rents (Exemptions and miscellaneous Provisions) regulations 2016 set out exceptions from rent reduction, additional criteria for granting exemptions and impose alternative requirements on certain categories of housing excepted from the basic provisions.</w:t>
            </w:r>
          </w:p>
          <w:p w:rsidR="004E74B5" w:rsidRPr="00DB5E3B" w:rsidRDefault="004E74B5" w:rsidP="004E74B5">
            <w:pPr>
              <w:pStyle w:val="NormalWeb"/>
              <w:shd w:val="clear" w:color="auto" w:fill="FFFFFF"/>
              <w:spacing w:before="150" w:beforeAutospacing="0" w:after="0" w:afterAutospacing="0"/>
              <w:rPr>
                <w:rFonts w:ascii="Arial" w:hAnsi="Arial" w:cs="Arial"/>
                <w:color w:val="0B0C0C"/>
              </w:rPr>
            </w:pPr>
            <w:r w:rsidRPr="00DB5E3B">
              <w:rPr>
                <w:rFonts w:ascii="Arial" w:hAnsi="Arial" w:cs="Arial"/>
                <w:color w:val="0B0C0C"/>
              </w:rPr>
              <w:t>The policy applies from 1 April 2016. In each of 4 ‘relevant years’ registered providers of social housing must reduce the total rent payable by a tenant in year by 1% (though the Act is not prescriptive regarding how this 1% rent reduction is implemented, it could be by a 1% reduction from the beginning of a year, or a larger reduction later in the year). If a tenancy starts or ends during the year, the reduction would be on a pro-rata basis.</w:t>
            </w:r>
          </w:p>
          <w:p w:rsidR="004E74B5" w:rsidRDefault="004E74B5" w:rsidP="004E74B5">
            <w:pPr>
              <w:shd w:val="clear" w:color="auto" w:fill="FFFFFF"/>
              <w:spacing w:before="150" w:after="150"/>
              <w:rPr>
                <w:rFonts w:ascii="Arial" w:hAnsi="Arial" w:cs="Arial"/>
                <w:color w:val="0B0C0C"/>
                <w:lang w:eastAsia="en-GB" w:bidi="ar-SA"/>
              </w:rPr>
            </w:pPr>
            <w:r w:rsidRPr="00DB5E3B">
              <w:rPr>
                <w:rFonts w:ascii="Arial" w:hAnsi="Arial" w:cs="Arial"/>
                <w:color w:val="0B0C0C"/>
                <w:lang w:eastAsia="en-GB" w:bidi="ar-SA"/>
              </w:rPr>
              <w:t xml:space="preserve">For social rent properties, the reduction applies to the rent element and not to service charges. </w:t>
            </w:r>
          </w:p>
          <w:p w:rsidR="004E74B5" w:rsidRDefault="004E74B5" w:rsidP="004E74B5">
            <w:pPr>
              <w:shd w:val="clear" w:color="auto" w:fill="FFFFFF"/>
              <w:spacing w:before="150" w:after="150"/>
              <w:rPr>
                <w:rFonts w:ascii="Arial" w:hAnsi="Arial" w:cs="Arial"/>
                <w:color w:val="0B0C0C"/>
                <w:lang w:eastAsia="en-GB" w:bidi="ar-SA"/>
              </w:rPr>
            </w:pPr>
            <w:r w:rsidRPr="00DB5E3B">
              <w:rPr>
                <w:rFonts w:ascii="Arial" w:hAnsi="Arial" w:cs="Arial"/>
                <w:color w:val="0B0C0C"/>
                <w:lang w:eastAsia="en-GB" w:bidi="ar-SA"/>
              </w:rPr>
              <w:t>To calculate the baseline rent, the landlord should take the rate of rent that applied to a tenant on 8 July 2015 and work out the rent that would have been payable if that rate had applied over a 12 month period. The amount payable in the first relevant year is this amount less 1%. In each of the subsequent 3 years, the maximum rent is found by reducing the amount payable in the previous year by 1%.</w:t>
            </w:r>
          </w:p>
          <w:p w:rsidR="00397590" w:rsidRPr="00DB5E3B" w:rsidRDefault="00397590" w:rsidP="00397590">
            <w:pPr>
              <w:pStyle w:val="NormalWeb"/>
              <w:shd w:val="clear" w:color="auto" w:fill="FFFFFF"/>
              <w:spacing w:before="150" w:beforeAutospacing="0" w:after="150" w:afterAutospacing="0"/>
              <w:rPr>
                <w:rFonts w:ascii="Arial" w:hAnsi="Arial" w:cs="Arial"/>
                <w:color w:val="0B0C0C"/>
              </w:rPr>
            </w:pPr>
            <w:r w:rsidRPr="00DB5E3B">
              <w:rPr>
                <w:rFonts w:ascii="Arial" w:hAnsi="Arial" w:cs="Arial"/>
                <w:color w:val="0B0C0C"/>
              </w:rPr>
              <w:t>If the Secretary of State consents a provider may use the rent on a different day to determine the baseline rent (“permitted review day”).</w:t>
            </w:r>
          </w:p>
          <w:p w:rsidR="00397590" w:rsidRPr="00DB5E3B" w:rsidRDefault="00397590" w:rsidP="00397590">
            <w:pPr>
              <w:pStyle w:val="NormalWeb"/>
              <w:shd w:val="clear" w:color="auto" w:fill="FFFFFF"/>
              <w:spacing w:before="0" w:beforeAutospacing="0" w:after="0" w:afterAutospacing="0"/>
              <w:rPr>
                <w:rFonts w:ascii="Arial" w:hAnsi="Arial" w:cs="Arial"/>
                <w:color w:val="0B0C0C"/>
              </w:rPr>
            </w:pPr>
            <w:r w:rsidRPr="00DB5E3B">
              <w:rPr>
                <w:rFonts w:ascii="Arial" w:hAnsi="Arial" w:cs="Arial"/>
                <w:color w:val="0B0C0C"/>
              </w:rPr>
              <w:t>The Secretary of State has issued a</w:t>
            </w:r>
            <w:r w:rsidRPr="00DB5E3B">
              <w:rPr>
                <w:rStyle w:val="apple-converted-space"/>
                <w:rFonts w:ascii="Arial" w:hAnsi="Arial" w:cs="Arial"/>
                <w:color w:val="0B0C0C"/>
              </w:rPr>
              <w:t> </w:t>
            </w:r>
            <w:hyperlink r:id="rId12" w:history="1">
              <w:r w:rsidRPr="00DB5E3B">
                <w:rPr>
                  <w:rStyle w:val="Hyperlink"/>
                  <w:rFonts w:ascii="Arial" w:hAnsi="Arial" w:cs="Arial"/>
                  <w:color w:val="005EA5"/>
                  <w:bdr w:val="none" w:sz="0" w:space="0" w:color="auto" w:frame="1"/>
                </w:rPr>
                <w:t>general consent</w:t>
              </w:r>
            </w:hyperlink>
            <w:r w:rsidRPr="00DB5E3B">
              <w:rPr>
                <w:rStyle w:val="apple-converted-space"/>
                <w:rFonts w:ascii="Arial" w:hAnsi="Arial" w:cs="Arial"/>
                <w:color w:val="0B0C0C"/>
              </w:rPr>
              <w:t> </w:t>
            </w:r>
            <w:r w:rsidRPr="00DB5E3B">
              <w:rPr>
                <w:rFonts w:ascii="Arial" w:hAnsi="Arial" w:cs="Arial"/>
                <w:color w:val="0B0C0C"/>
              </w:rPr>
              <w:t>which enables providers who had not implemented their 2015 to 2016 rent increase on 8 July 2015 to use a permitted review day - generally 31 March 2016 except in the case of re-lets of Affordable Rent housing where the permitted review day is the day the new tenancy agreement starts. This is to ensure that all landlords have a 2015 to 2016 baseline for the reductions.</w:t>
            </w:r>
          </w:p>
          <w:p w:rsidR="00397590" w:rsidRPr="00DB5E3B" w:rsidRDefault="00397590" w:rsidP="00397590">
            <w:pPr>
              <w:pStyle w:val="NormalWeb"/>
              <w:shd w:val="clear" w:color="auto" w:fill="FFFFFF"/>
              <w:spacing w:before="150" w:beforeAutospacing="0" w:after="150" w:afterAutospacing="0"/>
              <w:rPr>
                <w:rFonts w:ascii="Arial" w:hAnsi="Arial" w:cs="Arial"/>
                <w:color w:val="0B0C0C"/>
              </w:rPr>
            </w:pPr>
            <w:r w:rsidRPr="00DB5E3B">
              <w:rPr>
                <w:rFonts w:ascii="Arial" w:hAnsi="Arial" w:cs="Arial"/>
                <w:color w:val="0B0C0C"/>
              </w:rPr>
              <w:t>The baseline rent and rents in the 4 relevant years is calculated in the same way as the above, save that it is the rate of rent on the permitted review day (not 8 July 2015) which forms the basis of the calculation.</w:t>
            </w:r>
          </w:p>
          <w:p w:rsidR="00397590" w:rsidRPr="00DB5E3B" w:rsidRDefault="00397590" w:rsidP="00397590">
            <w:pPr>
              <w:pStyle w:val="legclearfix"/>
              <w:shd w:val="clear" w:color="auto" w:fill="FFFFFF"/>
              <w:spacing w:before="0" w:beforeAutospacing="0" w:after="120" w:afterAutospacing="0" w:line="270" w:lineRule="atLeast"/>
              <w:rPr>
                <w:rFonts w:ascii="Arial" w:hAnsi="Arial" w:cs="Arial"/>
                <w:color w:val="0B0C0C"/>
                <w:shd w:val="clear" w:color="auto" w:fill="FFFFFF"/>
              </w:rPr>
            </w:pPr>
            <w:r w:rsidRPr="00DB5E3B">
              <w:rPr>
                <w:rFonts w:ascii="Arial" w:hAnsi="Arial" w:cs="Arial"/>
                <w:color w:val="0B0C0C"/>
                <w:shd w:val="clear" w:color="auto" w:fill="FFFFFF"/>
              </w:rPr>
              <w:t>Schedule 2 to the Act sets out how rents in the first relevant year should be set for new tenants whose tenancies start after the beginning of 8 July. These requirements apply to tenancies of new homes and re-lets to a new tenant (but not the grant of a new tenancy to an existing tenant).</w:t>
            </w:r>
          </w:p>
          <w:p w:rsidR="00397590" w:rsidRPr="00DB5E3B" w:rsidRDefault="00397590" w:rsidP="00397590">
            <w:pPr>
              <w:pStyle w:val="NormalWeb"/>
              <w:shd w:val="clear" w:color="auto" w:fill="FFFFFF"/>
              <w:spacing w:before="150" w:beforeAutospacing="0" w:after="150" w:afterAutospacing="0"/>
              <w:rPr>
                <w:rFonts w:ascii="Arial" w:hAnsi="Arial" w:cs="Arial"/>
                <w:color w:val="0B0C0C"/>
              </w:rPr>
            </w:pPr>
            <w:r w:rsidRPr="00DB5E3B">
              <w:rPr>
                <w:rFonts w:ascii="Arial" w:hAnsi="Arial" w:cs="Arial"/>
                <w:color w:val="0B0C0C"/>
              </w:rPr>
              <w:t>When there is a new tenant of existing social rent properties with a tenancy starting after the beginning of 8 July, the maximum rent in the first relevant year is whichever is the higher of:</w:t>
            </w:r>
          </w:p>
          <w:p w:rsidR="00397590" w:rsidRPr="00DB5E3B" w:rsidRDefault="00397590" w:rsidP="00397590">
            <w:pPr>
              <w:pStyle w:val="NormalWeb"/>
              <w:numPr>
                <w:ilvl w:val="0"/>
                <w:numId w:val="20"/>
              </w:numPr>
              <w:shd w:val="clear" w:color="auto" w:fill="FFFFFF"/>
              <w:spacing w:before="0" w:beforeAutospacing="0" w:after="0" w:afterAutospacing="0"/>
              <w:ind w:left="300"/>
              <w:rPr>
                <w:rFonts w:ascii="Arial" w:hAnsi="Arial" w:cs="Arial"/>
                <w:color w:val="0B0C0C"/>
              </w:rPr>
            </w:pPr>
            <w:r w:rsidRPr="00DB5E3B">
              <w:rPr>
                <w:rFonts w:ascii="Arial" w:hAnsi="Arial" w:cs="Arial"/>
                <w:color w:val="0B0C0C"/>
              </w:rPr>
              <w:t>‘assumed rent rate’, which is based on the rate that the previous tenant was paying on 8 July (or on an alternative permitted review date) or the rate that a previous tenant might have paid on those dates if the property was vacant at the time; a 1% reduction is then applied in each relevant year; or</w:t>
            </w:r>
          </w:p>
          <w:p w:rsidR="00397590" w:rsidRPr="00DB5E3B" w:rsidRDefault="00397590" w:rsidP="00397590">
            <w:pPr>
              <w:pStyle w:val="NormalWeb"/>
              <w:numPr>
                <w:ilvl w:val="0"/>
                <w:numId w:val="20"/>
              </w:numPr>
              <w:shd w:val="clear" w:color="auto" w:fill="FFFFFF"/>
              <w:spacing w:before="0" w:beforeAutospacing="0" w:after="0" w:afterAutospacing="0"/>
              <w:ind w:left="300"/>
              <w:rPr>
                <w:rFonts w:ascii="Arial" w:hAnsi="Arial" w:cs="Arial"/>
                <w:color w:val="0B0C0C"/>
              </w:rPr>
            </w:pPr>
            <w:r w:rsidRPr="00DB5E3B">
              <w:rPr>
                <w:rFonts w:ascii="Arial" w:hAnsi="Arial" w:cs="Arial"/>
                <w:color w:val="0B0C0C"/>
              </w:rPr>
              <w:t>‘social rent rate’, which is calculated by using the formula rent for 2015 to 2016 and applying a 1% reduction in each relevant year</w:t>
            </w:r>
          </w:p>
          <w:p w:rsidR="00397590" w:rsidRPr="00DB5E3B" w:rsidRDefault="00397590" w:rsidP="00397590">
            <w:pPr>
              <w:pStyle w:val="NormalWeb"/>
              <w:shd w:val="clear" w:color="auto" w:fill="FFFFFF"/>
              <w:spacing w:before="150" w:beforeAutospacing="0" w:after="150" w:afterAutospacing="0"/>
              <w:rPr>
                <w:rFonts w:ascii="Arial" w:hAnsi="Arial" w:cs="Arial"/>
                <w:color w:val="0B0C0C"/>
              </w:rPr>
            </w:pPr>
            <w:r w:rsidRPr="00DB5E3B">
              <w:rPr>
                <w:rFonts w:ascii="Arial" w:hAnsi="Arial" w:cs="Arial"/>
                <w:color w:val="0B0C0C"/>
              </w:rPr>
              <w:t>We are aware that there may be existing properties whose rents are already above the formula rent levels. The ‘assumed rent rate’ can be used in these cases and is intended to ensure that providers would not have to reduce rent for a particular property by more than 1% in the first year.</w:t>
            </w:r>
          </w:p>
          <w:p w:rsidR="00397590" w:rsidRPr="00DB5E3B" w:rsidRDefault="00397590" w:rsidP="00397590">
            <w:pPr>
              <w:pStyle w:val="NormalWeb"/>
              <w:shd w:val="clear" w:color="auto" w:fill="FFFFFF"/>
              <w:spacing w:before="150" w:beforeAutospacing="0" w:after="150" w:afterAutospacing="0"/>
              <w:rPr>
                <w:rFonts w:ascii="Arial" w:hAnsi="Arial" w:cs="Arial"/>
                <w:color w:val="0B0C0C"/>
              </w:rPr>
            </w:pPr>
            <w:r w:rsidRPr="00DB5E3B">
              <w:rPr>
                <w:rFonts w:ascii="Arial" w:hAnsi="Arial" w:cs="Arial"/>
                <w:color w:val="0B0C0C"/>
              </w:rPr>
              <w:t>We are also aware that some providers may still have properties whose rents are below formula rents. In these cases, providers will – should they wish - be able to bring the rents up to the ‘social rent rate’ on re-let to a new tenant, similar to re-lets at formula rent under the existing rent policy.</w:t>
            </w:r>
          </w:p>
          <w:p w:rsidR="00397590" w:rsidRPr="00DB5E3B" w:rsidRDefault="00397590" w:rsidP="00397590">
            <w:pPr>
              <w:pStyle w:val="legclearfix"/>
              <w:shd w:val="clear" w:color="auto" w:fill="FFFFFF"/>
              <w:spacing w:before="0" w:beforeAutospacing="0" w:after="120" w:afterAutospacing="0" w:line="270" w:lineRule="atLeast"/>
              <w:rPr>
                <w:rFonts w:ascii="Arial" w:hAnsi="Arial" w:cs="Arial"/>
                <w:color w:val="0B0C0C"/>
                <w:shd w:val="clear" w:color="auto" w:fill="FFFFFF"/>
              </w:rPr>
            </w:pPr>
            <w:r w:rsidRPr="00DB5E3B">
              <w:rPr>
                <w:rFonts w:ascii="Arial" w:hAnsi="Arial" w:cs="Arial"/>
                <w:color w:val="0B0C0C"/>
                <w:shd w:val="clear" w:color="auto" w:fill="FFFFFF"/>
              </w:rPr>
              <w:t>The maximum rent for new social rent properties is the ‘social rent rate’ as set out above.</w:t>
            </w:r>
          </w:p>
          <w:p w:rsidR="00397590" w:rsidRPr="00DB5E3B" w:rsidRDefault="00397590" w:rsidP="00397590">
            <w:pPr>
              <w:pStyle w:val="legclearfix"/>
              <w:shd w:val="clear" w:color="auto" w:fill="FFFFFF"/>
              <w:spacing w:before="120" w:beforeAutospacing="0" w:after="0" w:afterAutospacing="0" w:line="270" w:lineRule="atLeast"/>
              <w:rPr>
                <w:rFonts w:ascii="Arial" w:hAnsi="Arial" w:cs="Arial"/>
                <w:b/>
                <w:color w:val="0B0C0C"/>
              </w:rPr>
            </w:pPr>
            <w:r w:rsidRPr="00DB5E3B">
              <w:rPr>
                <w:rFonts w:ascii="Arial" w:hAnsi="Arial" w:cs="Arial"/>
                <w:b/>
                <w:color w:val="0B0C0C"/>
              </w:rPr>
              <w:t>Exceptions from social rent reductions</w:t>
            </w:r>
          </w:p>
          <w:p w:rsidR="00397590" w:rsidRPr="00DB5E3B" w:rsidRDefault="00397590" w:rsidP="00397590">
            <w:pPr>
              <w:pStyle w:val="Heading3"/>
              <w:shd w:val="clear" w:color="auto" w:fill="FFFFFF"/>
              <w:spacing w:before="120" w:after="0"/>
              <w:textAlignment w:val="baseline"/>
              <w:rPr>
                <w:rFonts w:ascii="Arial" w:hAnsi="Arial" w:cs="Arial"/>
                <w:color w:val="0B0C0C"/>
                <w:sz w:val="24"/>
                <w:szCs w:val="24"/>
              </w:rPr>
            </w:pPr>
            <w:r w:rsidRPr="00DB5E3B">
              <w:rPr>
                <w:rFonts w:ascii="Arial" w:hAnsi="Arial" w:cs="Arial"/>
                <w:color w:val="0B0C0C"/>
                <w:sz w:val="24"/>
                <w:szCs w:val="24"/>
              </w:rPr>
              <w:t>Full exceptions</w:t>
            </w:r>
          </w:p>
          <w:p w:rsidR="00397590" w:rsidRPr="00DB5E3B" w:rsidRDefault="00397590" w:rsidP="00397590">
            <w:pPr>
              <w:numPr>
                <w:ilvl w:val="0"/>
                <w:numId w:val="21"/>
              </w:numPr>
              <w:shd w:val="clear" w:color="auto" w:fill="FFFFFF"/>
              <w:ind w:left="300"/>
              <w:rPr>
                <w:rFonts w:ascii="Arial" w:hAnsi="Arial" w:cs="Arial"/>
                <w:color w:val="0B0C0C"/>
              </w:rPr>
            </w:pPr>
            <w:r w:rsidRPr="00DB5E3B">
              <w:rPr>
                <w:rFonts w:ascii="Arial" w:hAnsi="Arial" w:cs="Arial"/>
                <w:color w:val="0B0C0C"/>
              </w:rPr>
              <w:t>low cost home ownership or shared ownership homes</w:t>
            </w:r>
          </w:p>
          <w:p w:rsidR="00397590" w:rsidRPr="00DB5E3B" w:rsidRDefault="00397590" w:rsidP="00397590">
            <w:pPr>
              <w:numPr>
                <w:ilvl w:val="0"/>
                <w:numId w:val="21"/>
              </w:numPr>
              <w:shd w:val="clear" w:color="auto" w:fill="FFFFFF"/>
              <w:ind w:left="300"/>
              <w:rPr>
                <w:rFonts w:ascii="Arial" w:hAnsi="Arial" w:cs="Arial"/>
                <w:color w:val="0B0C0C"/>
              </w:rPr>
            </w:pPr>
            <w:r w:rsidRPr="00DB5E3B">
              <w:rPr>
                <w:rFonts w:ascii="Arial" w:hAnsi="Arial" w:cs="Arial"/>
                <w:color w:val="0B0C0C"/>
              </w:rPr>
              <w:t>where the property is subject to a mortgage or other security arrangement, and the mortgagee or other security holder is in possession of the property; a receiver is appointed to receive the rents and profits of that property; or where a person is appointed to administer or sell the property for the purpose of enforcing security; in the unlikely event that a property has to be sold to enforce a mortgage or other security arrangement, it would no longer be subject to the reduction; this is intended to protect the loan security valuation</w:t>
            </w:r>
          </w:p>
          <w:p w:rsidR="00397590" w:rsidRPr="00DB5E3B" w:rsidRDefault="00397590" w:rsidP="00397590">
            <w:pPr>
              <w:numPr>
                <w:ilvl w:val="0"/>
                <w:numId w:val="21"/>
              </w:numPr>
              <w:shd w:val="clear" w:color="auto" w:fill="FFFFFF"/>
              <w:ind w:left="300"/>
              <w:rPr>
                <w:rFonts w:ascii="Arial" w:hAnsi="Arial" w:cs="Arial"/>
                <w:color w:val="0B0C0C"/>
              </w:rPr>
            </w:pPr>
            <w:r w:rsidRPr="00DB5E3B">
              <w:rPr>
                <w:rFonts w:ascii="Arial" w:hAnsi="Arial" w:cs="Arial"/>
                <w:color w:val="0B0C0C"/>
              </w:rPr>
              <w:t>properties let on Intermediate rent terms, this will include those provided under government programmes and those provided without public capital subsidy</w:t>
            </w:r>
          </w:p>
          <w:p w:rsidR="00397590" w:rsidRPr="00DB5E3B" w:rsidRDefault="00397590" w:rsidP="00397590">
            <w:pPr>
              <w:numPr>
                <w:ilvl w:val="0"/>
                <w:numId w:val="21"/>
              </w:numPr>
              <w:shd w:val="clear" w:color="auto" w:fill="FFFFFF"/>
              <w:ind w:left="300"/>
              <w:rPr>
                <w:rFonts w:ascii="Arial" w:hAnsi="Arial" w:cs="Arial"/>
                <w:color w:val="0B0C0C"/>
              </w:rPr>
            </w:pPr>
            <w:r w:rsidRPr="00DB5E3B">
              <w:rPr>
                <w:rFonts w:ascii="Arial" w:hAnsi="Arial" w:cs="Arial"/>
                <w:color w:val="0B0C0C"/>
              </w:rPr>
              <w:t>specialised supported housing fitting certain criteria – supported housing developed in partnership with councils, local health or social services offering a high level of support for clients, for whom the only alternative options are care homes</w:t>
            </w:r>
          </w:p>
          <w:p w:rsidR="00397590" w:rsidRPr="00DB5E3B" w:rsidRDefault="00397590" w:rsidP="00397590">
            <w:pPr>
              <w:numPr>
                <w:ilvl w:val="0"/>
                <w:numId w:val="21"/>
              </w:numPr>
              <w:shd w:val="clear" w:color="auto" w:fill="FFFFFF"/>
              <w:ind w:left="300"/>
              <w:rPr>
                <w:rFonts w:ascii="Arial" w:hAnsi="Arial" w:cs="Arial"/>
                <w:color w:val="0B0C0C"/>
              </w:rPr>
            </w:pPr>
            <w:r w:rsidRPr="00DB5E3B">
              <w:rPr>
                <w:rFonts w:ascii="Arial" w:hAnsi="Arial" w:cs="Arial"/>
                <w:color w:val="0B0C0C"/>
              </w:rPr>
              <w:t>All</w:t>
            </w:r>
            <w:r w:rsidRPr="00DB5E3B">
              <w:rPr>
                <w:rStyle w:val="apple-converted-space"/>
                <w:rFonts w:ascii="Arial" w:hAnsi="Arial" w:cs="Arial"/>
                <w:color w:val="0B0C0C"/>
              </w:rPr>
              <w:t> </w:t>
            </w:r>
            <w:r w:rsidRPr="00DB5E3B">
              <w:rPr>
                <w:rFonts w:ascii="Arial" w:hAnsi="Arial" w:cs="Arial"/>
                <w:color w:val="0B0C0C"/>
              </w:rPr>
              <w:t>PFI-funded housing, both</w:t>
            </w:r>
            <w:r w:rsidRPr="00DB5E3B">
              <w:rPr>
                <w:rStyle w:val="apple-converted-space"/>
                <w:rFonts w:ascii="Arial" w:hAnsi="Arial" w:cs="Arial"/>
                <w:color w:val="0B0C0C"/>
              </w:rPr>
              <w:t> </w:t>
            </w:r>
            <w:r w:rsidRPr="00DB5E3B">
              <w:rPr>
                <w:rFonts w:ascii="Arial" w:hAnsi="Arial" w:cs="Arial"/>
                <w:color w:val="0B0C0C"/>
              </w:rPr>
              <w:t>HRA</w:t>
            </w:r>
            <w:r w:rsidRPr="00DB5E3B">
              <w:rPr>
                <w:rStyle w:val="apple-converted-space"/>
                <w:rFonts w:ascii="Arial" w:hAnsi="Arial" w:cs="Arial"/>
                <w:color w:val="0B0C0C"/>
              </w:rPr>
              <w:t> </w:t>
            </w:r>
            <w:r w:rsidRPr="00DB5E3B">
              <w:rPr>
                <w:rFonts w:ascii="Arial" w:hAnsi="Arial" w:cs="Arial"/>
                <w:color w:val="0B0C0C"/>
              </w:rPr>
              <w:t>and non-HRA</w:t>
            </w:r>
          </w:p>
          <w:p w:rsidR="00397590" w:rsidRPr="00DB5E3B" w:rsidRDefault="00397590" w:rsidP="00397590">
            <w:pPr>
              <w:numPr>
                <w:ilvl w:val="0"/>
                <w:numId w:val="21"/>
              </w:numPr>
              <w:shd w:val="clear" w:color="auto" w:fill="FFFFFF"/>
              <w:ind w:left="300"/>
              <w:rPr>
                <w:rFonts w:ascii="Arial" w:hAnsi="Arial" w:cs="Arial"/>
                <w:color w:val="0B0C0C"/>
              </w:rPr>
            </w:pPr>
            <w:r w:rsidRPr="00DB5E3B">
              <w:rPr>
                <w:rFonts w:ascii="Arial" w:hAnsi="Arial" w:cs="Arial"/>
                <w:color w:val="0B0C0C"/>
              </w:rPr>
              <w:t>temporary social housing and short-life leasing schemes for the homeless</w:t>
            </w:r>
          </w:p>
          <w:p w:rsidR="00397590" w:rsidRPr="00DB5E3B" w:rsidRDefault="00397590" w:rsidP="00397590">
            <w:pPr>
              <w:numPr>
                <w:ilvl w:val="0"/>
                <w:numId w:val="21"/>
              </w:numPr>
              <w:shd w:val="clear" w:color="auto" w:fill="FFFFFF"/>
              <w:ind w:left="300"/>
              <w:rPr>
                <w:rFonts w:ascii="Arial" w:hAnsi="Arial" w:cs="Arial"/>
                <w:color w:val="0B0C0C"/>
              </w:rPr>
            </w:pPr>
            <w:r w:rsidRPr="00DB5E3B">
              <w:rPr>
                <w:rFonts w:ascii="Arial" w:hAnsi="Arial" w:cs="Arial"/>
                <w:color w:val="0B0C0C"/>
              </w:rPr>
              <w:t>residential care homes or nursing homes</w:t>
            </w:r>
          </w:p>
          <w:p w:rsidR="00397590" w:rsidRPr="00DB5E3B" w:rsidRDefault="00397590" w:rsidP="00397590">
            <w:pPr>
              <w:numPr>
                <w:ilvl w:val="0"/>
                <w:numId w:val="21"/>
              </w:numPr>
              <w:shd w:val="clear" w:color="auto" w:fill="FFFFFF"/>
              <w:ind w:left="300"/>
              <w:rPr>
                <w:rFonts w:ascii="Arial" w:hAnsi="Arial" w:cs="Arial"/>
                <w:color w:val="0B0C0C"/>
              </w:rPr>
            </w:pPr>
            <w:r w:rsidRPr="00DB5E3B">
              <w:rPr>
                <w:rFonts w:ascii="Arial" w:hAnsi="Arial" w:cs="Arial"/>
                <w:color w:val="0B0C0C"/>
              </w:rPr>
              <w:t>student accommodation</w:t>
            </w:r>
          </w:p>
          <w:p w:rsidR="00397590" w:rsidRPr="00DB5E3B" w:rsidRDefault="00397590" w:rsidP="00397590">
            <w:pPr>
              <w:numPr>
                <w:ilvl w:val="0"/>
                <w:numId w:val="21"/>
              </w:numPr>
              <w:shd w:val="clear" w:color="auto" w:fill="FFFFFF"/>
              <w:ind w:left="300"/>
              <w:rPr>
                <w:rFonts w:ascii="Arial" w:hAnsi="Arial" w:cs="Arial"/>
                <w:color w:val="0B0C0C"/>
              </w:rPr>
            </w:pPr>
            <w:r w:rsidRPr="00DB5E3B">
              <w:rPr>
                <w:rFonts w:ascii="Arial" w:hAnsi="Arial" w:cs="Arial"/>
                <w:color w:val="0B0C0C"/>
              </w:rPr>
              <w:t>legacy social housing under the Housing Act 1996 that is not low cost rental accommodation as defined by section 69 of the Housing and Regeneration Act 2008.</w:t>
            </w:r>
          </w:p>
          <w:p w:rsidR="00397590" w:rsidRPr="00DB5E3B" w:rsidRDefault="00397590" w:rsidP="00397590">
            <w:pPr>
              <w:pStyle w:val="Heading3"/>
              <w:shd w:val="clear" w:color="auto" w:fill="FFFFFF"/>
              <w:spacing w:before="120" w:after="0"/>
              <w:textAlignment w:val="baseline"/>
              <w:rPr>
                <w:rFonts w:ascii="Arial" w:hAnsi="Arial" w:cs="Arial"/>
                <w:color w:val="0B0C0C"/>
                <w:sz w:val="24"/>
                <w:szCs w:val="24"/>
                <w:lang w:eastAsia="en-GB" w:bidi="ar-SA"/>
              </w:rPr>
            </w:pPr>
            <w:r w:rsidRPr="00DB5E3B">
              <w:rPr>
                <w:rFonts w:ascii="Arial" w:hAnsi="Arial" w:cs="Arial"/>
                <w:color w:val="0B0C0C"/>
                <w:sz w:val="24"/>
                <w:szCs w:val="24"/>
              </w:rPr>
              <w:t>Exceptions with alternative provision</w:t>
            </w:r>
          </w:p>
          <w:p w:rsidR="00397590" w:rsidRPr="00DB5E3B" w:rsidRDefault="00397590" w:rsidP="00397590">
            <w:pPr>
              <w:pStyle w:val="NormalWeb"/>
              <w:numPr>
                <w:ilvl w:val="0"/>
                <w:numId w:val="22"/>
              </w:numPr>
              <w:shd w:val="clear" w:color="auto" w:fill="FFFFFF"/>
              <w:spacing w:before="0" w:beforeAutospacing="0" w:after="0" w:afterAutospacing="0"/>
              <w:ind w:left="300"/>
              <w:rPr>
                <w:rFonts w:ascii="Arial" w:hAnsi="Arial" w:cs="Arial"/>
                <w:color w:val="0B0C0C"/>
              </w:rPr>
            </w:pPr>
            <w:r w:rsidRPr="00DB5E3B">
              <w:rPr>
                <w:rFonts w:ascii="Arial" w:hAnsi="Arial" w:cs="Arial"/>
                <w:color w:val="0B0C0C"/>
              </w:rPr>
              <w:t>properties let to high income social tenants – as currently defined under the</w:t>
            </w:r>
            <w:r w:rsidRPr="00DB5E3B">
              <w:rPr>
                <w:rStyle w:val="apple-converted-space"/>
                <w:rFonts w:ascii="Arial" w:hAnsi="Arial" w:cs="Arial"/>
                <w:color w:val="0B0C0C"/>
              </w:rPr>
              <w:t> </w:t>
            </w:r>
            <w:hyperlink r:id="rId13" w:history="1">
              <w:r w:rsidRPr="00DB5E3B">
                <w:rPr>
                  <w:rStyle w:val="Hyperlink"/>
                  <w:rFonts w:ascii="Arial" w:hAnsi="Arial" w:cs="Arial"/>
                  <w:color w:val="005EA5"/>
                  <w:bdr w:val="none" w:sz="0" w:space="0" w:color="auto" w:frame="1"/>
                </w:rPr>
                <w:t>Rent Standard 2015</w:t>
              </w:r>
            </w:hyperlink>
            <w:r w:rsidRPr="00DB5E3B">
              <w:rPr>
                <w:rFonts w:ascii="Arial" w:hAnsi="Arial" w:cs="Arial"/>
                <w:color w:val="0B0C0C"/>
              </w:rPr>
              <w:t>, and the</w:t>
            </w:r>
            <w:r w:rsidRPr="00DB5E3B">
              <w:rPr>
                <w:rStyle w:val="apple-converted-space"/>
                <w:rFonts w:ascii="Arial" w:hAnsi="Arial" w:cs="Arial"/>
                <w:color w:val="0B0C0C"/>
              </w:rPr>
              <w:t> </w:t>
            </w:r>
            <w:hyperlink r:id="rId14" w:history="1">
              <w:r w:rsidRPr="00DB5E3B">
                <w:rPr>
                  <w:rStyle w:val="Hyperlink"/>
                  <w:rFonts w:ascii="Arial" w:hAnsi="Arial" w:cs="Arial"/>
                  <w:color w:val="005EA5"/>
                  <w:bdr w:val="none" w:sz="0" w:space="0" w:color="auto" w:frame="1"/>
                </w:rPr>
                <w:t>guidance</w:t>
              </w:r>
            </w:hyperlink>
            <w:r w:rsidRPr="00DB5E3B">
              <w:rPr>
                <w:rStyle w:val="apple-converted-space"/>
                <w:rFonts w:ascii="Arial" w:hAnsi="Arial" w:cs="Arial"/>
                <w:color w:val="0B0C0C"/>
              </w:rPr>
              <w:t> </w:t>
            </w:r>
            <w:r w:rsidRPr="00DB5E3B">
              <w:rPr>
                <w:rFonts w:ascii="Arial" w:hAnsi="Arial" w:cs="Arial"/>
                <w:color w:val="0B0C0C"/>
              </w:rPr>
              <w:t>on rents for social housing from April 2015; provisions relating to high income social tenants</w:t>
            </w:r>
            <w:r>
              <w:rPr>
                <w:rFonts w:ascii="Arial" w:hAnsi="Arial" w:cs="Arial"/>
                <w:color w:val="0B0C0C"/>
                <w:sz w:val="29"/>
                <w:szCs w:val="29"/>
              </w:rPr>
              <w:t xml:space="preserve"> </w:t>
            </w:r>
            <w:r w:rsidRPr="00DB5E3B">
              <w:rPr>
                <w:rFonts w:ascii="Arial" w:hAnsi="Arial" w:cs="Arial"/>
                <w:color w:val="0B0C0C"/>
              </w:rPr>
              <w:t>will be amended when Regulations under the</w:t>
            </w:r>
            <w:r w:rsidRPr="00DB5E3B">
              <w:rPr>
                <w:rStyle w:val="apple-converted-space"/>
                <w:rFonts w:ascii="Arial" w:hAnsi="Arial" w:cs="Arial"/>
                <w:color w:val="0B0C0C"/>
              </w:rPr>
              <w:t> </w:t>
            </w:r>
            <w:hyperlink r:id="rId15" w:history="1">
              <w:r w:rsidRPr="00DB5E3B">
                <w:rPr>
                  <w:rStyle w:val="Hyperlink"/>
                  <w:rFonts w:ascii="Arial" w:hAnsi="Arial" w:cs="Arial"/>
                  <w:color w:val="005EA5"/>
                  <w:bdr w:val="none" w:sz="0" w:space="0" w:color="auto" w:frame="1"/>
                </w:rPr>
                <w:t>Housing and Planning Bill</w:t>
              </w:r>
            </w:hyperlink>
            <w:r w:rsidRPr="00DB5E3B">
              <w:rPr>
                <w:rStyle w:val="apple-converted-space"/>
                <w:rFonts w:ascii="Arial" w:hAnsi="Arial" w:cs="Arial"/>
                <w:color w:val="0B0C0C"/>
              </w:rPr>
              <w:t> </w:t>
            </w:r>
            <w:r w:rsidRPr="00DB5E3B">
              <w:rPr>
                <w:rFonts w:ascii="Arial" w:hAnsi="Arial" w:cs="Arial"/>
                <w:color w:val="0B0C0C"/>
              </w:rPr>
              <w:t>come into effect; exceptions also apply to properties previously let to high income social tenants</w:t>
            </w:r>
          </w:p>
          <w:p w:rsidR="00397590" w:rsidRPr="00DB5E3B" w:rsidRDefault="00397590" w:rsidP="00397590">
            <w:pPr>
              <w:pStyle w:val="NormalWeb"/>
              <w:numPr>
                <w:ilvl w:val="0"/>
                <w:numId w:val="22"/>
              </w:numPr>
              <w:shd w:val="clear" w:color="auto" w:fill="FFFFFF"/>
              <w:spacing w:before="0" w:beforeAutospacing="0" w:after="0" w:afterAutospacing="0"/>
              <w:ind w:left="300"/>
              <w:rPr>
                <w:rFonts w:ascii="Arial" w:hAnsi="Arial" w:cs="Arial"/>
                <w:color w:val="0B0C0C"/>
              </w:rPr>
            </w:pPr>
            <w:r w:rsidRPr="00DB5E3B">
              <w:rPr>
                <w:rFonts w:ascii="Arial" w:hAnsi="Arial" w:cs="Arial"/>
                <w:color w:val="0B0C0C"/>
              </w:rPr>
              <w:t>Certain Rent Act 1977 tenancies – a landlord does not have to reduce rents if the ‘fair rent’ set by the rent officer is lower than the social rent rate; if that changes the maximum rent would then be the social rent rate</w:t>
            </w:r>
          </w:p>
          <w:p w:rsidR="00397590" w:rsidRPr="00DB5E3B" w:rsidRDefault="00397590" w:rsidP="00397590">
            <w:pPr>
              <w:pStyle w:val="NormalWeb"/>
              <w:numPr>
                <w:ilvl w:val="0"/>
                <w:numId w:val="22"/>
              </w:numPr>
              <w:shd w:val="clear" w:color="auto" w:fill="FFFFFF"/>
              <w:spacing w:before="0" w:beforeAutospacing="0" w:after="0" w:afterAutospacing="0"/>
              <w:ind w:left="300"/>
              <w:rPr>
                <w:rFonts w:ascii="Arial" w:hAnsi="Arial" w:cs="Arial"/>
                <w:color w:val="0B0C0C"/>
              </w:rPr>
            </w:pPr>
            <w:r w:rsidRPr="00DB5E3B">
              <w:rPr>
                <w:rFonts w:ascii="Arial" w:hAnsi="Arial" w:cs="Arial"/>
                <w:color w:val="0B0C0C"/>
              </w:rPr>
              <w:t>an exception applies if in the previous year the tenant’s rent was temporarily reduced or waived; that period should be disregarded when calculating the rent due</w:t>
            </w:r>
          </w:p>
          <w:p w:rsidR="00397590" w:rsidRPr="00DB5E3B" w:rsidRDefault="00397590" w:rsidP="00397590">
            <w:pPr>
              <w:pStyle w:val="NormalWeb"/>
              <w:numPr>
                <w:ilvl w:val="0"/>
                <w:numId w:val="22"/>
              </w:numPr>
              <w:shd w:val="clear" w:color="auto" w:fill="FFFFFF"/>
              <w:spacing w:before="0" w:beforeAutospacing="0" w:after="0" w:afterAutospacing="0"/>
              <w:ind w:left="300"/>
              <w:rPr>
                <w:rFonts w:ascii="Arial" w:hAnsi="Arial" w:cs="Arial"/>
                <w:color w:val="0B0C0C"/>
              </w:rPr>
            </w:pPr>
            <w:r w:rsidRPr="00DB5E3B">
              <w:rPr>
                <w:rFonts w:ascii="Arial" w:hAnsi="Arial" w:cs="Arial"/>
                <w:color w:val="0B0C0C"/>
              </w:rPr>
              <w:t>a provider may choose to implement the required total reduction more quickly, and where this applies the provider is not required to reduce rent further (though must not increase it)</w:t>
            </w:r>
          </w:p>
          <w:p w:rsidR="00397590" w:rsidRPr="00DB5E3B" w:rsidRDefault="00397590" w:rsidP="00397590">
            <w:pPr>
              <w:pStyle w:val="NormalWeb"/>
              <w:numPr>
                <w:ilvl w:val="0"/>
                <w:numId w:val="22"/>
              </w:numPr>
              <w:shd w:val="clear" w:color="auto" w:fill="FFFFFF"/>
              <w:spacing w:before="0" w:beforeAutospacing="0" w:after="0" w:afterAutospacing="0" w:line="270" w:lineRule="atLeast"/>
              <w:ind w:left="300"/>
              <w:rPr>
                <w:rFonts w:ascii="Arial" w:hAnsi="Arial" w:cs="Arial"/>
                <w:color w:val="000000"/>
              </w:rPr>
            </w:pPr>
            <w:r w:rsidRPr="00DB5E3B">
              <w:rPr>
                <w:rFonts w:ascii="Arial" w:hAnsi="Arial" w:cs="Arial"/>
                <w:color w:val="0B0C0C"/>
              </w:rPr>
              <w:t>supported housing is excepted from Schedule 2 to allow providers to continue to set rents for social rent supported housing at 10% above the social rent rate; see ‘rent setting for supported housing section’ below:</w:t>
            </w:r>
          </w:p>
          <w:p w:rsidR="00397590" w:rsidRPr="00DB5E3B" w:rsidRDefault="00397590" w:rsidP="00397590">
            <w:pPr>
              <w:pStyle w:val="Heading3"/>
              <w:shd w:val="clear" w:color="auto" w:fill="FFFFFF"/>
              <w:spacing w:before="120" w:after="0"/>
              <w:textAlignment w:val="baseline"/>
              <w:rPr>
                <w:rFonts w:ascii="Arial" w:hAnsi="Arial" w:cs="Arial"/>
                <w:color w:val="0B0C0C"/>
                <w:sz w:val="24"/>
                <w:szCs w:val="24"/>
                <w:lang w:eastAsia="en-GB" w:bidi="ar-SA"/>
              </w:rPr>
            </w:pPr>
            <w:r w:rsidRPr="00DB5E3B">
              <w:rPr>
                <w:rFonts w:ascii="Arial" w:hAnsi="Arial" w:cs="Arial"/>
                <w:color w:val="0B0C0C"/>
                <w:sz w:val="24"/>
                <w:szCs w:val="24"/>
              </w:rPr>
              <w:t>One year exceptions</w:t>
            </w:r>
          </w:p>
          <w:p w:rsidR="00397590" w:rsidRPr="00DB5E3B" w:rsidRDefault="00397590" w:rsidP="00397590">
            <w:pPr>
              <w:pStyle w:val="NormalWeb"/>
              <w:shd w:val="clear" w:color="auto" w:fill="FFFFFF"/>
              <w:spacing w:before="150" w:beforeAutospacing="0" w:after="150" w:afterAutospacing="0"/>
              <w:rPr>
                <w:rFonts w:ascii="Arial" w:hAnsi="Arial" w:cs="Arial"/>
                <w:color w:val="0B0C0C"/>
              </w:rPr>
            </w:pPr>
            <w:r w:rsidRPr="00DB5E3B">
              <w:rPr>
                <w:rFonts w:ascii="Arial" w:hAnsi="Arial" w:cs="Arial"/>
                <w:color w:val="0B0C0C"/>
              </w:rPr>
              <w:t>These types of accommodation are excepted from the rent reduction requirements during the provider’s first relevant year, but alternative provision applies restricting any rent increases to CPI + 1% (0.9%).</w:t>
            </w:r>
          </w:p>
          <w:p w:rsidR="00397590" w:rsidRPr="00DB5E3B" w:rsidRDefault="00397590" w:rsidP="00397590">
            <w:pPr>
              <w:numPr>
                <w:ilvl w:val="0"/>
                <w:numId w:val="23"/>
              </w:numPr>
              <w:shd w:val="clear" w:color="auto" w:fill="FFFFFF"/>
              <w:ind w:left="300"/>
              <w:rPr>
                <w:rFonts w:ascii="Arial" w:hAnsi="Arial" w:cs="Arial"/>
                <w:color w:val="0B0C0C"/>
              </w:rPr>
            </w:pPr>
            <w:r w:rsidRPr="00DB5E3B">
              <w:rPr>
                <w:rFonts w:ascii="Arial" w:hAnsi="Arial" w:cs="Arial"/>
                <w:color w:val="0B0C0C"/>
              </w:rPr>
              <w:t>all supported housing (that is not specialised supported housing) provided by local authorities and private registered providers – these include though are not necessarily limited to:</w:t>
            </w:r>
          </w:p>
          <w:p w:rsidR="00397590" w:rsidRPr="00DB5E3B" w:rsidRDefault="00397590" w:rsidP="00754865">
            <w:pPr>
              <w:numPr>
                <w:ilvl w:val="1"/>
                <w:numId w:val="23"/>
              </w:numPr>
              <w:shd w:val="clear" w:color="auto" w:fill="FFFFFF"/>
              <w:ind w:left="600" w:hanging="287"/>
              <w:rPr>
                <w:rFonts w:ascii="Arial" w:hAnsi="Arial" w:cs="Arial"/>
                <w:color w:val="0B0C0C"/>
              </w:rPr>
            </w:pPr>
            <w:r w:rsidRPr="00DB5E3B">
              <w:rPr>
                <w:rFonts w:ascii="Arial" w:hAnsi="Arial" w:cs="Arial"/>
                <w:color w:val="0B0C0C"/>
              </w:rPr>
              <w:t>sheltered accommodation for older people</w:t>
            </w:r>
          </w:p>
          <w:p w:rsidR="00397590" w:rsidRPr="00DB5E3B" w:rsidRDefault="00397590" w:rsidP="00754865">
            <w:pPr>
              <w:numPr>
                <w:ilvl w:val="1"/>
                <w:numId w:val="23"/>
              </w:numPr>
              <w:shd w:val="clear" w:color="auto" w:fill="FFFFFF"/>
              <w:ind w:left="600" w:hanging="287"/>
              <w:rPr>
                <w:rFonts w:ascii="Arial" w:hAnsi="Arial" w:cs="Arial"/>
                <w:color w:val="0B0C0C"/>
              </w:rPr>
            </w:pPr>
            <w:r w:rsidRPr="00DB5E3B">
              <w:rPr>
                <w:rFonts w:ascii="Arial" w:hAnsi="Arial" w:cs="Arial"/>
                <w:color w:val="0B0C0C"/>
              </w:rPr>
              <w:t>extra care housing</w:t>
            </w:r>
          </w:p>
          <w:p w:rsidR="00397590" w:rsidRPr="00DB5E3B" w:rsidRDefault="00397590" w:rsidP="00754865">
            <w:pPr>
              <w:numPr>
                <w:ilvl w:val="1"/>
                <w:numId w:val="23"/>
              </w:numPr>
              <w:shd w:val="clear" w:color="auto" w:fill="FFFFFF"/>
              <w:ind w:left="600" w:hanging="287"/>
              <w:rPr>
                <w:rFonts w:ascii="Arial" w:hAnsi="Arial" w:cs="Arial"/>
                <w:color w:val="0B0C0C"/>
              </w:rPr>
            </w:pPr>
            <w:r w:rsidRPr="00DB5E3B">
              <w:rPr>
                <w:rFonts w:ascii="Arial" w:hAnsi="Arial" w:cs="Arial"/>
                <w:color w:val="0B0C0C"/>
              </w:rPr>
              <w:t>domestic violence refuges and other specialist accommodation based support for domestic violence victims</w:t>
            </w:r>
          </w:p>
          <w:p w:rsidR="00397590" w:rsidRPr="00DB5E3B" w:rsidRDefault="00397590" w:rsidP="00754865">
            <w:pPr>
              <w:numPr>
                <w:ilvl w:val="1"/>
                <w:numId w:val="23"/>
              </w:numPr>
              <w:shd w:val="clear" w:color="auto" w:fill="FFFFFF"/>
              <w:ind w:left="600" w:hanging="287"/>
              <w:rPr>
                <w:rFonts w:ascii="Arial" w:hAnsi="Arial" w:cs="Arial"/>
                <w:color w:val="0B0C0C"/>
              </w:rPr>
            </w:pPr>
            <w:r w:rsidRPr="00DB5E3B">
              <w:rPr>
                <w:rFonts w:ascii="Arial" w:hAnsi="Arial" w:cs="Arial"/>
                <w:color w:val="0B0C0C"/>
              </w:rPr>
              <w:t>hostels and other supported accommodation for the homeless</w:t>
            </w:r>
          </w:p>
          <w:p w:rsidR="00397590" w:rsidRPr="00DB5E3B" w:rsidRDefault="00397590" w:rsidP="00754865">
            <w:pPr>
              <w:numPr>
                <w:ilvl w:val="1"/>
                <w:numId w:val="23"/>
              </w:numPr>
              <w:shd w:val="clear" w:color="auto" w:fill="FFFFFF"/>
              <w:ind w:left="600" w:hanging="287"/>
              <w:rPr>
                <w:rFonts w:ascii="Arial" w:hAnsi="Arial" w:cs="Arial"/>
                <w:color w:val="0B0C0C"/>
              </w:rPr>
            </w:pPr>
            <w:r w:rsidRPr="00DB5E3B">
              <w:rPr>
                <w:rFonts w:ascii="Arial" w:hAnsi="Arial" w:cs="Arial"/>
                <w:color w:val="0B0C0C"/>
              </w:rPr>
              <w:t>supported accommodation for people with drug or alcohol problems</w:t>
            </w:r>
          </w:p>
          <w:p w:rsidR="00397590" w:rsidRPr="00DB5E3B" w:rsidRDefault="00397590" w:rsidP="00754865">
            <w:pPr>
              <w:numPr>
                <w:ilvl w:val="1"/>
                <w:numId w:val="23"/>
              </w:numPr>
              <w:shd w:val="clear" w:color="auto" w:fill="FFFFFF"/>
              <w:ind w:left="600" w:hanging="287"/>
              <w:rPr>
                <w:rFonts w:ascii="Arial" w:hAnsi="Arial" w:cs="Arial"/>
                <w:color w:val="0B0C0C"/>
              </w:rPr>
            </w:pPr>
            <w:r w:rsidRPr="00DB5E3B">
              <w:rPr>
                <w:rFonts w:ascii="Arial" w:hAnsi="Arial" w:cs="Arial"/>
                <w:color w:val="0B0C0C"/>
              </w:rPr>
              <w:t>supported accommodation for people with mental health issues</w:t>
            </w:r>
          </w:p>
          <w:p w:rsidR="00397590" w:rsidRPr="00DB5E3B" w:rsidRDefault="00397590" w:rsidP="00754865">
            <w:pPr>
              <w:numPr>
                <w:ilvl w:val="1"/>
                <w:numId w:val="23"/>
              </w:numPr>
              <w:shd w:val="clear" w:color="auto" w:fill="FFFFFF"/>
              <w:ind w:left="600" w:hanging="287"/>
              <w:rPr>
                <w:rFonts w:ascii="Arial" w:hAnsi="Arial" w:cs="Arial"/>
                <w:color w:val="0B0C0C"/>
              </w:rPr>
            </w:pPr>
            <w:r w:rsidRPr="00DB5E3B">
              <w:rPr>
                <w:rFonts w:ascii="Arial" w:hAnsi="Arial" w:cs="Arial"/>
                <w:color w:val="0B0C0C"/>
              </w:rPr>
              <w:t>supported accommodation for ex-offenders and people at risk of offending</w:t>
            </w:r>
          </w:p>
          <w:p w:rsidR="00397590" w:rsidRPr="00DB5E3B" w:rsidRDefault="00397590" w:rsidP="00754865">
            <w:pPr>
              <w:numPr>
                <w:ilvl w:val="1"/>
                <w:numId w:val="23"/>
              </w:numPr>
              <w:shd w:val="clear" w:color="auto" w:fill="FFFFFF"/>
              <w:ind w:left="600" w:hanging="287"/>
              <w:rPr>
                <w:rFonts w:ascii="Arial" w:hAnsi="Arial" w:cs="Arial"/>
                <w:color w:val="0B0C0C"/>
              </w:rPr>
            </w:pPr>
            <w:r w:rsidRPr="00DB5E3B">
              <w:rPr>
                <w:rFonts w:ascii="Arial" w:hAnsi="Arial" w:cs="Arial"/>
                <w:color w:val="0B0C0C"/>
              </w:rPr>
              <w:t>supported accommodation for people with disabilities</w:t>
            </w:r>
          </w:p>
          <w:p w:rsidR="00397590" w:rsidRPr="00DB5E3B" w:rsidRDefault="00397590" w:rsidP="00754865">
            <w:pPr>
              <w:numPr>
                <w:ilvl w:val="1"/>
                <w:numId w:val="23"/>
              </w:numPr>
              <w:shd w:val="clear" w:color="auto" w:fill="FFFFFF"/>
              <w:ind w:left="600" w:hanging="287"/>
              <w:rPr>
                <w:rFonts w:ascii="Arial" w:hAnsi="Arial" w:cs="Arial"/>
                <w:color w:val="0B0C0C"/>
              </w:rPr>
            </w:pPr>
            <w:r w:rsidRPr="00DB5E3B">
              <w:rPr>
                <w:rFonts w:ascii="Arial" w:hAnsi="Arial" w:cs="Arial"/>
                <w:color w:val="0B0C0C"/>
              </w:rPr>
              <w:t>supported accommodation for people with learning disabilities</w:t>
            </w:r>
          </w:p>
          <w:p w:rsidR="00397590" w:rsidRPr="00DB5E3B" w:rsidRDefault="00397590" w:rsidP="00754865">
            <w:pPr>
              <w:numPr>
                <w:ilvl w:val="1"/>
                <w:numId w:val="23"/>
              </w:numPr>
              <w:shd w:val="clear" w:color="auto" w:fill="FFFFFF"/>
              <w:ind w:left="600" w:hanging="287"/>
              <w:rPr>
                <w:rFonts w:ascii="Arial" w:hAnsi="Arial" w:cs="Arial"/>
                <w:color w:val="0B0C0C"/>
              </w:rPr>
            </w:pPr>
            <w:r w:rsidRPr="00DB5E3B">
              <w:rPr>
                <w:rFonts w:ascii="Arial" w:hAnsi="Arial" w:cs="Arial"/>
                <w:color w:val="0B0C0C"/>
              </w:rPr>
              <w:t>supported accommodation for young people</w:t>
            </w:r>
          </w:p>
          <w:p w:rsidR="00397590" w:rsidRPr="00DB5E3B" w:rsidRDefault="00397590" w:rsidP="00754865">
            <w:pPr>
              <w:numPr>
                <w:ilvl w:val="1"/>
                <w:numId w:val="23"/>
              </w:numPr>
              <w:shd w:val="clear" w:color="auto" w:fill="FFFFFF"/>
              <w:ind w:left="600" w:hanging="287"/>
              <w:rPr>
                <w:rFonts w:ascii="Arial" w:hAnsi="Arial" w:cs="Arial"/>
                <w:color w:val="0B0C0C"/>
              </w:rPr>
            </w:pPr>
            <w:r w:rsidRPr="00DB5E3B">
              <w:rPr>
                <w:rFonts w:ascii="Arial" w:hAnsi="Arial" w:cs="Arial"/>
                <w:color w:val="0B0C0C"/>
              </w:rPr>
              <w:t>supported accommodation for teenage parents</w:t>
            </w:r>
          </w:p>
          <w:p w:rsidR="00397590" w:rsidRPr="00DB5E3B" w:rsidRDefault="00397590" w:rsidP="00754865">
            <w:pPr>
              <w:numPr>
                <w:ilvl w:val="0"/>
                <w:numId w:val="23"/>
              </w:numPr>
              <w:shd w:val="clear" w:color="auto" w:fill="FFFFFF"/>
              <w:ind w:left="596" w:hanging="287"/>
              <w:rPr>
                <w:rFonts w:ascii="Arial" w:hAnsi="Arial" w:cs="Arial"/>
                <w:color w:val="0B0C0C"/>
              </w:rPr>
            </w:pPr>
            <w:r w:rsidRPr="00DB5E3B">
              <w:rPr>
                <w:rFonts w:ascii="Arial" w:hAnsi="Arial" w:cs="Arial"/>
                <w:color w:val="0B0C0C"/>
              </w:rPr>
              <w:t>almshouses</w:t>
            </w:r>
          </w:p>
          <w:p w:rsidR="00397590" w:rsidRPr="00DB5E3B" w:rsidRDefault="00397590" w:rsidP="00754865">
            <w:pPr>
              <w:numPr>
                <w:ilvl w:val="0"/>
                <w:numId w:val="23"/>
              </w:numPr>
              <w:shd w:val="clear" w:color="auto" w:fill="FFFFFF"/>
              <w:ind w:left="596" w:hanging="287"/>
              <w:rPr>
                <w:rFonts w:ascii="Arial" w:hAnsi="Arial" w:cs="Arial"/>
                <w:color w:val="0B0C0C"/>
              </w:rPr>
            </w:pPr>
            <w:r w:rsidRPr="00DB5E3B">
              <w:rPr>
                <w:rFonts w:ascii="Arial" w:hAnsi="Arial" w:cs="Arial"/>
                <w:color w:val="0B0C0C"/>
              </w:rPr>
              <w:t>community land trusts</w:t>
            </w:r>
          </w:p>
          <w:p w:rsidR="00397590" w:rsidRPr="00DB5E3B" w:rsidRDefault="00397590" w:rsidP="00754865">
            <w:pPr>
              <w:numPr>
                <w:ilvl w:val="0"/>
                <w:numId w:val="23"/>
              </w:numPr>
              <w:shd w:val="clear" w:color="auto" w:fill="FFFFFF"/>
              <w:ind w:left="596" w:hanging="287"/>
              <w:rPr>
                <w:rFonts w:ascii="Arial" w:hAnsi="Arial" w:cs="Arial"/>
                <w:color w:val="0B0C0C"/>
              </w:rPr>
            </w:pPr>
            <w:r w:rsidRPr="00DB5E3B">
              <w:rPr>
                <w:rFonts w:ascii="Arial" w:hAnsi="Arial" w:cs="Arial"/>
                <w:color w:val="0B0C0C"/>
              </w:rPr>
              <w:t>fully mutual and co-operative housing associations</w:t>
            </w:r>
            <w:r>
              <w:rPr>
                <w:rFonts w:ascii="Arial" w:hAnsi="Arial" w:cs="Arial"/>
                <w:color w:val="0B0C0C"/>
              </w:rPr>
              <w:t>.</w:t>
            </w:r>
          </w:p>
          <w:p w:rsidR="00397590" w:rsidRPr="00743332" w:rsidRDefault="00397590" w:rsidP="00397590">
            <w:pPr>
              <w:pStyle w:val="Heading2"/>
              <w:shd w:val="clear" w:color="auto" w:fill="FFFFFF"/>
              <w:spacing w:after="0"/>
              <w:textAlignment w:val="baseline"/>
              <w:rPr>
                <w:rFonts w:ascii="Arial" w:hAnsi="Arial" w:cs="Arial"/>
                <w:i w:val="0"/>
                <w:color w:val="0B0C0C"/>
                <w:sz w:val="24"/>
                <w:szCs w:val="24"/>
                <w:lang w:eastAsia="en-GB" w:bidi="ar-SA"/>
              </w:rPr>
            </w:pPr>
            <w:r w:rsidRPr="00743332">
              <w:rPr>
                <w:rFonts w:ascii="Arial" w:hAnsi="Arial" w:cs="Arial"/>
                <w:i w:val="0"/>
                <w:color w:val="0B0C0C"/>
                <w:sz w:val="24"/>
                <w:szCs w:val="24"/>
              </w:rPr>
              <w:t>Rents for supported housing – modifications of section 23 and Part 1 of Schedule 2</w:t>
            </w:r>
          </w:p>
          <w:p w:rsidR="00397590" w:rsidRPr="00DB5E3B" w:rsidRDefault="00397590" w:rsidP="00397590">
            <w:pPr>
              <w:pStyle w:val="NormalWeb"/>
              <w:shd w:val="clear" w:color="auto" w:fill="FFFFFF"/>
              <w:spacing w:before="150" w:beforeAutospacing="0" w:after="150" w:afterAutospacing="0"/>
              <w:rPr>
                <w:rFonts w:ascii="Arial" w:hAnsi="Arial" w:cs="Arial"/>
                <w:color w:val="0B0C0C"/>
              </w:rPr>
            </w:pPr>
            <w:r w:rsidRPr="00DB5E3B">
              <w:rPr>
                <w:rFonts w:ascii="Arial" w:hAnsi="Arial" w:cs="Arial"/>
                <w:color w:val="0B0C0C"/>
              </w:rPr>
              <w:t>During the first year, providers can continue to set rents as under the previous rent policy. The limit on annual rent increase during 2016 to 2017 will be CPI+1% (CPI was -0.1% as at September 2015, so the limit would be 0.9%).</w:t>
            </w:r>
          </w:p>
          <w:p w:rsidR="00397590" w:rsidRPr="00DB5E3B" w:rsidRDefault="00397590" w:rsidP="00397590">
            <w:pPr>
              <w:pStyle w:val="NormalWeb"/>
              <w:shd w:val="clear" w:color="auto" w:fill="FFFFFF"/>
              <w:spacing w:before="150" w:beforeAutospacing="0" w:after="150" w:afterAutospacing="0"/>
              <w:rPr>
                <w:rFonts w:ascii="Arial" w:hAnsi="Arial" w:cs="Arial"/>
                <w:color w:val="0B0C0C"/>
              </w:rPr>
            </w:pPr>
            <w:r w:rsidRPr="00DB5E3B">
              <w:rPr>
                <w:rFonts w:ascii="Arial" w:hAnsi="Arial" w:cs="Arial"/>
                <w:color w:val="0B0C0C"/>
              </w:rPr>
              <w:t>Section 23 and Part 1 of Schedule 2 are modified to reflect this (the modifications to section 23 are only applicable in the first relevant year, those in respect of Schedule 2 will apply for the 4 relevant years).</w:t>
            </w:r>
          </w:p>
          <w:p w:rsidR="00397590" w:rsidRDefault="00397590" w:rsidP="00397590">
            <w:pPr>
              <w:pStyle w:val="NormalWeb"/>
              <w:shd w:val="clear" w:color="auto" w:fill="FFFFFF"/>
              <w:spacing w:before="150" w:beforeAutospacing="0" w:after="150" w:afterAutospacing="0"/>
              <w:rPr>
                <w:rFonts w:ascii="Arial" w:hAnsi="Arial" w:cs="Arial"/>
                <w:color w:val="0B0C0C"/>
              </w:rPr>
            </w:pPr>
            <w:r w:rsidRPr="00DB5E3B">
              <w:rPr>
                <w:rFonts w:ascii="Arial" w:hAnsi="Arial" w:cs="Arial"/>
                <w:color w:val="0B0C0C"/>
              </w:rPr>
              <w:t>Modifications of Schedule 2 also provide that the starting point for calculating the social rent rate is 10% above 2015 to 2016 formula rent .</w:t>
            </w:r>
          </w:p>
          <w:p w:rsidR="00397590" w:rsidRPr="00DB5E3B" w:rsidRDefault="00397590" w:rsidP="00397590">
            <w:pPr>
              <w:pStyle w:val="NormalWeb"/>
              <w:shd w:val="clear" w:color="auto" w:fill="FFFFFF"/>
              <w:spacing w:before="150" w:beforeAutospacing="0" w:after="150" w:afterAutospacing="0"/>
              <w:rPr>
                <w:rFonts w:ascii="Arial" w:hAnsi="Arial" w:cs="Arial"/>
                <w:b/>
                <w:color w:val="0B0C0C"/>
              </w:rPr>
            </w:pPr>
            <w:r w:rsidRPr="00DB5E3B">
              <w:rPr>
                <w:rFonts w:ascii="Arial" w:hAnsi="Arial" w:cs="Arial"/>
                <w:b/>
                <w:color w:val="0B0C0C"/>
              </w:rPr>
              <w:t>Rents for supported housing from the second relevant year</w:t>
            </w:r>
          </w:p>
          <w:p w:rsidR="004E74B5" w:rsidRPr="00C81FC7" w:rsidRDefault="00397590" w:rsidP="008320BA">
            <w:pPr>
              <w:pStyle w:val="NormalWeb"/>
              <w:shd w:val="clear" w:color="auto" w:fill="FFFFFF"/>
              <w:spacing w:before="150" w:beforeAutospacing="0" w:after="150" w:afterAutospacing="0"/>
              <w:rPr>
                <w:rFonts w:ascii="Arial" w:hAnsi="Arial" w:cs="Arial"/>
                <w:b/>
                <w:color w:val="42145F"/>
              </w:rPr>
            </w:pPr>
            <w:r w:rsidRPr="00DB5E3B">
              <w:rPr>
                <w:rFonts w:ascii="Arial" w:hAnsi="Arial" w:cs="Arial"/>
                <w:color w:val="0B0C0C"/>
              </w:rPr>
              <w:t>The government is in the process of reviewing supported housing and initial findings are expected to be available in Spring. We will use these findings to consider workable and sustainable solutions for the sector.</w:t>
            </w:r>
          </w:p>
        </w:tc>
      </w:tr>
      <w:tr w:rsidR="0041742A" w:rsidRPr="007C4B1F" w:rsidTr="004860DD">
        <w:trPr>
          <w:trHeight w:val="766"/>
        </w:trPr>
        <w:tc>
          <w:tcPr>
            <w:tcW w:w="14029" w:type="dxa"/>
            <w:gridSpan w:val="3"/>
            <w:shd w:val="clear" w:color="auto" w:fill="165788"/>
            <w:vAlign w:val="center"/>
          </w:tcPr>
          <w:p w:rsidR="0041742A" w:rsidRPr="004860DD" w:rsidRDefault="0041742A" w:rsidP="0041742A">
            <w:pPr>
              <w:ind w:left="34" w:hanging="34"/>
              <w:rPr>
                <w:rFonts w:ascii="Arial" w:hAnsi="Arial" w:cs="Arial"/>
                <w:b/>
                <w:color w:val="FFFFFF" w:themeColor="background1"/>
              </w:rPr>
            </w:pPr>
            <w:r w:rsidRPr="004860DD">
              <w:rPr>
                <w:rFonts w:ascii="Arial" w:hAnsi="Arial" w:cs="Arial"/>
                <w:b/>
                <w:color w:val="FFFFFF" w:themeColor="background1"/>
              </w:rPr>
              <w:t>Bdht Compliance Position</w:t>
            </w:r>
            <w:r w:rsidR="000A51E7" w:rsidRPr="004860DD">
              <w:rPr>
                <w:rFonts w:ascii="Arial" w:hAnsi="Arial" w:cs="Arial"/>
                <w:b/>
                <w:color w:val="FFFFFF" w:themeColor="background1"/>
              </w:rPr>
              <w:t>: Compliant</w:t>
            </w:r>
          </w:p>
        </w:tc>
      </w:tr>
      <w:tr w:rsidR="000A51E7" w:rsidRPr="007C4B1F" w:rsidTr="004860DD">
        <w:trPr>
          <w:trHeight w:val="766"/>
        </w:trPr>
        <w:tc>
          <w:tcPr>
            <w:tcW w:w="14029" w:type="dxa"/>
            <w:gridSpan w:val="3"/>
            <w:shd w:val="clear" w:color="auto" w:fill="auto"/>
            <w:vAlign w:val="center"/>
          </w:tcPr>
          <w:p w:rsidR="000A51E7" w:rsidRPr="00515C7A" w:rsidRDefault="00012B78" w:rsidP="004860DD">
            <w:pPr>
              <w:rPr>
                <w:rFonts w:ascii="Arial" w:hAnsi="Arial" w:cs="Arial"/>
                <w:b/>
                <w:color w:val="009B3A"/>
              </w:rPr>
            </w:pPr>
            <w:r w:rsidRPr="004860DD">
              <w:rPr>
                <w:rFonts w:ascii="Arial" w:hAnsi="Arial" w:cs="Arial"/>
                <w:color w:val="165788"/>
              </w:rPr>
              <w:t xml:space="preserve">Social rents are reviewed annually by Board. Rents were last reviewed by Board on the </w:t>
            </w:r>
            <w:r w:rsidR="004860DD">
              <w:rPr>
                <w:rFonts w:ascii="Arial" w:hAnsi="Arial" w:cs="Arial"/>
                <w:color w:val="165788"/>
              </w:rPr>
              <w:t>7</w:t>
            </w:r>
            <w:r w:rsidRPr="004860DD">
              <w:rPr>
                <w:rFonts w:ascii="Arial" w:hAnsi="Arial" w:cs="Arial"/>
                <w:color w:val="165788"/>
                <w:vertAlign w:val="superscript"/>
              </w:rPr>
              <w:t>th</w:t>
            </w:r>
            <w:r w:rsidRPr="004860DD">
              <w:rPr>
                <w:rFonts w:ascii="Arial" w:hAnsi="Arial" w:cs="Arial"/>
                <w:color w:val="165788"/>
              </w:rPr>
              <w:t xml:space="preserve"> December 201</w:t>
            </w:r>
            <w:r w:rsidR="004860DD">
              <w:rPr>
                <w:rFonts w:ascii="Arial" w:hAnsi="Arial" w:cs="Arial"/>
                <w:color w:val="165788"/>
              </w:rPr>
              <w:t>7</w:t>
            </w:r>
            <w:r w:rsidRPr="004860DD">
              <w:rPr>
                <w:rFonts w:ascii="Arial" w:hAnsi="Arial" w:cs="Arial"/>
                <w:color w:val="165788"/>
              </w:rPr>
              <w:t xml:space="preserve"> for 201</w:t>
            </w:r>
            <w:r w:rsidR="004860DD">
              <w:rPr>
                <w:rFonts w:ascii="Arial" w:hAnsi="Arial" w:cs="Arial"/>
                <w:color w:val="165788"/>
              </w:rPr>
              <w:t>8</w:t>
            </w:r>
            <w:r w:rsidRPr="004860DD">
              <w:rPr>
                <w:rFonts w:ascii="Arial" w:hAnsi="Arial" w:cs="Arial"/>
                <w:color w:val="165788"/>
              </w:rPr>
              <w:t>/1</w:t>
            </w:r>
            <w:r w:rsidR="004860DD">
              <w:rPr>
                <w:rFonts w:ascii="Arial" w:hAnsi="Arial" w:cs="Arial"/>
                <w:color w:val="165788"/>
              </w:rPr>
              <w:t>9</w:t>
            </w:r>
            <w:r w:rsidRPr="004860DD">
              <w:rPr>
                <w:rFonts w:ascii="Arial" w:hAnsi="Arial" w:cs="Arial"/>
                <w:color w:val="165788"/>
              </w:rPr>
              <w:t xml:space="preserve"> when a reduction of 1.0% was approved</w:t>
            </w:r>
            <w:r w:rsidR="00515C7A" w:rsidRPr="004860DD">
              <w:rPr>
                <w:rFonts w:ascii="Arial" w:hAnsi="Arial" w:cs="Arial"/>
                <w:color w:val="165788"/>
              </w:rPr>
              <w:t xml:space="preserve"> for all bdht social, affordable and intermediate rents</w:t>
            </w:r>
            <w:r w:rsidR="0099205E" w:rsidRPr="004860DD">
              <w:rPr>
                <w:rFonts w:ascii="Arial" w:hAnsi="Arial" w:cs="Arial"/>
                <w:color w:val="165788"/>
              </w:rPr>
              <w:t>.</w:t>
            </w:r>
          </w:p>
        </w:tc>
      </w:tr>
      <w:tr w:rsidR="000A51E7" w:rsidRPr="007C4B1F" w:rsidTr="004860DD">
        <w:trPr>
          <w:trHeight w:val="766"/>
        </w:trPr>
        <w:tc>
          <w:tcPr>
            <w:tcW w:w="1611" w:type="dxa"/>
            <w:shd w:val="clear" w:color="auto" w:fill="auto"/>
            <w:vAlign w:val="center"/>
          </w:tcPr>
          <w:p w:rsidR="000A51E7" w:rsidRDefault="000A51E7" w:rsidP="000A51E7">
            <w:pPr>
              <w:ind w:left="34" w:hanging="34"/>
              <w:jc w:val="center"/>
              <w:rPr>
                <w:rFonts w:ascii="Arial" w:hAnsi="Arial" w:cs="Arial"/>
                <w:b/>
              </w:rPr>
            </w:pPr>
            <w:r>
              <w:rPr>
                <w:rFonts w:ascii="Arial" w:hAnsi="Arial" w:cs="Arial"/>
                <w:b/>
              </w:rPr>
              <w:t>2.3</w:t>
            </w:r>
          </w:p>
        </w:tc>
        <w:tc>
          <w:tcPr>
            <w:tcW w:w="12418" w:type="dxa"/>
            <w:gridSpan w:val="2"/>
            <w:shd w:val="clear" w:color="auto" w:fill="auto"/>
            <w:vAlign w:val="center"/>
          </w:tcPr>
          <w:p w:rsidR="000A51E7" w:rsidRPr="00EA544F" w:rsidRDefault="000A51E7" w:rsidP="000A51E7">
            <w:pPr>
              <w:pStyle w:val="NormalWeb"/>
              <w:rPr>
                <w:rFonts w:ascii="Arial" w:hAnsi="Arial" w:cs="Arial"/>
                <w:b/>
              </w:rPr>
            </w:pPr>
            <w:r w:rsidRPr="00EA544F">
              <w:rPr>
                <w:rFonts w:ascii="Arial" w:hAnsi="Arial" w:cs="Arial"/>
                <w:b/>
              </w:rPr>
              <w:t>The requirements of paragraph 2.2 do not apply to accommodation let on Affordable Rent terms.  Subject to paragraph 2.6, where accommodation is let on Affordable Rent terms, registered providers shall set rents with a view to achieving the following:</w:t>
            </w:r>
          </w:p>
          <w:p w:rsidR="000A51E7" w:rsidRPr="00EA544F" w:rsidRDefault="000A51E7" w:rsidP="000A51E7">
            <w:pPr>
              <w:pStyle w:val="NormalWeb"/>
              <w:rPr>
                <w:rFonts w:ascii="Arial" w:hAnsi="Arial" w:cs="Arial"/>
                <w:b/>
              </w:rPr>
            </w:pPr>
            <w:r w:rsidRPr="00EA544F">
              <w:rPr>
                <w:rFonts w:ascii="Arial" w:hAnsi="Arial" w:cs="Arial"/>
                <w:b/>
              </w:rPr>
              <w:t>(a) Rent for accommodation (inclusive of service charges) is set at a level which is no more than 80% of the estimated market rent for the accommodation (inclusive of service charges), based on a valuation in accordance with a method recognised by the Royal Institution of Chartered Surveyors. </w:t>
            </w:r>
          </w:p>
          <w:p w:rsidR="000A51E7" w:rsidRPr="00EA544F" w:rsidRDefault="000A51E7" w:rsidP="000A51E7">
            <w:pPr>
              <w:pStyle w:val="NormalWeb"/>
              <w:rPr>
                <w:rFonts w:ascii="Arial" w:hAnsi="Arial" w:cs="Arial"/>
                <w:b/>
              </w:rPr>
            </w:pPr>
            <w:r w:rsidRPr="00EA544F">
              <w:rPr>
                <w:rFonts w:ascii="Arial" w:hAnsi="Arial" w:cs="Arial"/>
                <w:b/>
              </w:rPr>
              <w:t>(b) Rent for accommodation increases each year by an amount which is no more than CPI + 1.0%.</w:t>
            </w:r>
          </w:p>
          <w:p w:rsidR="000A51E7" w:rsidRPr="00EA544F" w:rsidRDefault="000A51E7" w:rsidP="000A51E7">
            <w:pPr>
              <w:pStyle w:val="NormalWeb"/>
              <w:rPr>
                <w:rFonts w:ascii="Arial" w:hAnsi="Arial" w:cs="Arial"/>
                <w:b/>
              </w:rPr>
            </w:pPr>
            <w:r w:rsidRPr="00EA544F">
              <w:rPr>
                <w:rFonts w:ascii="Arial" w:hAnsi="Arial" w:cs="Arial"/>
                <w:b/>
              </w:rPr>
              <w:t>(c) Rent for accommodation is re-set, based on a new valuation, each time the accommodation is:</w:t>
            </w:r>
          </w:p>
          <w:p w:rsidR="000A51E7" w:rsidRPr="00EA544F" w:rsidRDefault="000A51E7" w:rsidP="000A51E7">
            <w:pPr>
              <w:pStyle w:val="NormalWeb"/>
              <w:ind w:left="720" w:hanging="425"/>
              <w:rPr>
                <w:rFonts w:ascii="Arial" w:hAnsi="Arial" w:cs="Arial"/>
                <w:b/>
              </w:rPr>
            </w:pPr>
            <w:r w:rsidRPr="00EA544F">
              <w:rPr>
                <w:rFonts w:ascii="Arial" w:hAnsi="Arial" w:cs="Arial"/>
                <w:b/>
              </w:rPr>
              <w:t>(i) let to a new tenant, or</w:t>
            </w:r>
          </w:p>
          <w:p w:rsidR="000A51E7" w:rsidRPr="00EA544F" w:rsidRDefault="000A51E7" w:rsidP="000A51E7">
            <w:pPr>
              <w:pStyle w:val="NormalWeb"/>
              <w:ind w:left="720" w:hanging="425"/>
              <w:rPr>
                <w:rFonts w:ascii="Arial" w:hAnsi="Arial" w:cs="Arial"/>
                <w:b/>
              </w:rPr>
            </w:pPr>
            <w:r w:rsidRPr="00EA544F">
              <w:rPr>
                <w:rFonts w:ascii="Arial" w:hAnsi="Arial" w:cs="Arial"/>
                <w:b/>
              </w:rPr>
              <w:t>(ii) re-let to the same tenant (but where a probationary tenancy comes to an end and the registered provider re-lets the accommodation to the same tenant the provider is not required to re-set the rent).</w:t>
            </w:r>
          </w:p>
          <w:p w:rsidR="000A51E7" w:rsidRPr="00EA544F" w:rsidRDefault="000A51E7" w:rsidP="000A51E7">
            <w:pPr>
              <w:ind w:left="34" w:hanging="34"/>
              <w:rPr>
                <w:rFonts w:ascii="Arial" w:hAnsi="Arial" w:cs="Arial"/>
                <w:b/>
              </w:rPr>
            </w:pPr>
          </w:p>
        </w:tc>
      </w:tr>
      <w:tr w:rsidR="004E74B5" w:rsidRPr="007C4B1F" w:rsidTr="004860DD">
        <w:trPr>
          <w:trHeight w:val="766"/>
        </w:trPr>
        <w:tc>
          <w:tcPr>
            <w:tcW w:w="14029" w:type="dxa"/>
            <w:gridSpan w:val="3"/>
            <w:shd w:val="clear" w:color="auto" w:fill="auto"/>
            <w:vAlign w:val="center"/>
          </w:tcPr>
          <w:p w:rsidR="00012B78" w:rsidRPr="00012B78" w:rsidRDefault="00012B78" w:rsidP="00012B78">
            <w:pPr>
              <w:rPr>
                <w:rFonts w:ascii="Arial" w:hAnsi="Arial" w:cs="Arial"/>
                <w:b/>
                <w:color w:val="0B0C0C"/>
                <w:shd w:val="clear" w:color="auto" w:fill="FFFFFF"/>
              </w:rPr>
            </w:pPr>
            <w:r w:rsidRPr="00012B78">
              <w:rPr>
                <w:rFonts w:ascii="Arial" w:hAnsi="Arial" w:cs="Arial"/>
                <w:b/>
                <w:color w:val="0B0C0C"/>
                <w:shd w:val="clear" w:color="auto" w:fill="FFFFFF"/>
              </w:rPr>
              <w:t>The Welfare Reform &amp; Work Act 2016</w:t>
            </w:r>
          </w:p>
          <w:p w:rsidR="00754865" w:rsidRDefault="00754865" w:rsidP="004E74B5">
            <w:pPr>
              <w:shd w:val="clear" w:color="auto" w:fill="FFFFFF"/>
              <w:spacing w:before="150" w:after="150"/>
              <w:rPr>
                <w:rFonts w:ascii="Arial" w:hAnsi="Arial" w:cs="Arial"/>
                <w:color w:val="0B0C0C"/>
                <w:shd w:val="clear" w:color="auto" w:fill="FFFFFF"/>
              </w:rPr>
            </w:pPr>
            <w:r w:rsidRPr="00DB5E3B">
              <w:rPr>
                <w:rFonts w:ascii="Arial" w:hAnsi="Arial" w:cs="Arial"/>
                <w:color w:val="0B0C0C"/>
                <w:shd w:val="clear" w:color="auto" w:fill="FFFFFF"/>
              </w:rPr>
              <w:t>The maximum rent for an Affordable Rent property, when it is first let to a new tenant, is 80% of the market rate, inclusive of service charges, or the ‘social rent rate’ (exclusive of service charges), whichever is higher. Providers should then apply the 1% reduction in the following relevant years. The market rent should be based on the valuation methods recognised by the Royal Institution of Chartered Surveyors</w:t>
            </w:r>
            <w:r>
              <w:rPr>
                <w:rFonts w:ascii="Arial" w:hAnsi="Arial" w:cs="Arial"/>
                <w:color w:val="0B0C0C"/>
                <w:shd w:val="clear" w:color="auto" w:fill="FFFFFF"/>
              </w:rPr>
              <w:t>.</w:t>
            </w:r>
          </w:p>
          <w:p w:rsidR="004E74B5" w:rsidRDefault="004E74B5" w:rsidP="004E74B5">
            <w:pPr>
              <w:shd w:val="clear" w:color="auto" w:fill="FFFFFF"/>
              <w:spacing w:before="150" w:after="150"/>
              <w:rPr>
                <w:rFonts w:ascii="Arial" w:hAnsi="Arial" w:cs="Arial"/>
                <w:color w:val="0B0C0C"/>
                <w:lang w:eastAsia="en-GB" w:bidi="ar-SA"/>
              </w:rPr>
            </w:pPr>
            <w:r w:rsidRPr="00DB5E3B">
              <w:rPr>
                <w:rFonts w:ascii="Arial" w:hAnsi="Arial" w:cs="Arial"/>
                <w:color w:val="0B0C0C"/>
                <w:lang w:eastAsia="en-GB" w:bidi="ar-SA"/>
              </w:rPr>
              <w:t>For most Affordable Rent properties, the reduction applies to the total amount, inclusive of service charges. Where the social rent is used as a rent ‘floor’ for an Affordable Rent property, the reduction applies to the rent element only.</w:t>
            </w:r>
          </w:p>
          <w:p w:rsidR="000C3B46" w:rsidRPr="00DB5E3B" w:rsidRDefault="000C3B46" w:rsidP="000C3B46">
            <w:pPr>
              <w:pStyle w:val="NormalWeb"/>
              <w:shd w:val="clear" w:color="auto" w:fill="FFFFFF"/>
              <w:spacing w:before="0" w:beforeAutospacing="0" w:after="0" w:afterAutospacing="0"/>
              <w:rPr>
                <w:rFonts w:ascii="Arial" w:hAnsi="Arial" w:cs="Arial"/>
                <w:color w:val="0B0C0C"/>
              </w:rPr>
            </w:pPr>
            <w:r w:rsidRPr="00DB5E3B">
              <w:rPr>
                <w:rFonts w:ascii="Arial" w:hAnsi="Arial" w:cs="Arial"/>
                <w:color w:val="0B0C0C"/>
              </w:rPr>
              <w:t>The Secretary of State has issued a</w:t>
            </w:r>
            <w:r w:rsidRPr="00DB5E3B">
              <w:rPr>
                <w:rStyle w:val="apple-converted-space"/>
                <w:rFonts w:ascii="Arial" w:hAnsi="Arial" w:cs="Arial"/>
                <w:color w:val="0B0C0C"/>
              </w:rPr>
              <w:t> </w:t>
            </w:r>
            <w:hyperlink r:id="rId16" w:history="1">
              <w:r w:rsidRPr="00DB5E3B">
                <w:rPr>
                  <w:rStyle w:val="Hyperlink"/>
                  <w:rFonts w:ascii="Arial" w:hAnsi="Arial" w:cs="Arial"/>
                  <w:color w:val="005EA5"/>
                  <w:bdr w:val="none" w:sz="0" w:space="0" w:color="auto" w:frame="1"/>
                </w:rPr>
                <w:t>general consent</w:t>
              </w:r>
            </w:hyperlink>
            <w:r w:rsidRPr="00DB5E3B">
              <w:rPr>
                <w:rStyle w:val="apple-converted-space"/>
                <w:rFonts w:ascii="Arial" w:hAnsi="Arial" w:cs="Arial"/>
                <w:color w:val="0B0C0C"/>
              </w:rPr>
              <w:t> </w:t>
            </w:r>
            <w:r w:rsidRPr="00DB5E3B">
              <w:rPr>
                <w:rFonts w:ascii="Arial" w:hAnsi="Arial" w:cs="Arial"/>
                <w:color w:val="0B0C0C"/>
              </w:rPr>
              <w:t>which enables providers who had not implemented their 2015 to 2016 rent increase on 8 July 2015 to use a permitted review day - generally 31 March 2016 except in the case of re-lets of Affordable Rent housing where the permitted review day is the day the new tenancy agreement starts. This is to ensure that all landlords have a 2015 to 2016 baseline for the reductions.</w:t>
            </w:r>
          </w:p>
          <w:p w:rsidR="004E74B5" w:rsidRPr="00C81FC7" w:rsidRDefault="004E74B5" w:rsidP="000A51E7">
            <w:pPr>
              <w:ind w:left="34" w:hanging="34"/>
              <w:rPr>
                <w:rFonts w:ascii="Arial" w:hAnsi="Arial" w:cs="Arial"/>
                <w:b/>
                <w:color w:val="42145F"/>
              </w:rPr>
            </w:pPr>
          </w:p>
        </w:tc>
      </w:tr>
      <w:tr w:rsidR="000A51E7" w:rsidRPr="007C4B1F" w:rsidTr="004860DD">
        <w:trPr>
          <w:trHeight w:val="766"/>
        </w:trPr>
        <w:tc>
          <w:tcPr>
            <w:tcW w:w="14029" w:type="dxa"/>
            <w:gridSpan w:val="3"/>
            <w:shd w:val="clear" w:color="auto" w:fill="165788"/>
            <w:vAlign w:val="center"/>
          </w:tcPr>
          <w:p w:rsidR="000A51E7" w:rsidRPr="004860DD" w:rsidRDefault="000A51E7" w:rsidP="000A51E7">
            <w:pPr>
              <w:ind w:left="34" w:hanging="34"/>
              <w:rPr>
                <w:rFonts w:ascii="Arial" w:hAnsi="Arial" w:cs="Arial"/>
                <w:b/>
                <w:color w:val="FFFFFF" w:themeColor="background1"/>
              </w:rPr>
            </w:pPr>
            <w:r w:rsidRPr="004860DD">
              <w:rPr>
                <w:rFonts w:ascii="Arial" w:hAnsi="Arial" w:cs="Arial"/>
                <w:b/>
                <w:color w:val="FFFFFF" w:themeColor="background1"/>
              </w:rPr>
              <w:t>Bdht Compliance Position: Compliant</w:t>
            </w:r>
          </w:p>
        </w:tc>
      </w:tr>
      <w:tr w:rsidR="000A51E7" w:rsidRPr="007C4B1F" w:rsidTr="004860DD">
        <w:trPr>
          <w:trHeight w:val="766"/>
        </w:trPr>
        <w:tc>
          <w:tcPr>
            <w:tcW w:w="14029" w:type="dxa"/>
            <w:gridSpan w:val="3"/>
            <w:shd w:val="clear" w:color="auto" w:fill="auto"/>
            <w:vAlign w:val="center"/>
          </w:tcPr>
          <w:p w:rsidR="000A51E7" w:rsidRPr="004860DD" w:rsidRDefault="000A51E7" w:rsidP="000A51E7">
            <w:pPr>
              <w:rPr>
                <w:rFonts w:ascii="Arial" w:hAnsi="Arial" w:cs="Arial"/>
                <w:color w:val="165788"/>
              </w:rPr>
            </w:pPr>
            <w:r w:rsidRPr="004860DD">
              <w:rPr>
                <w:rFonts w:ascii="Arial" w:hAnsi="Arial" w:cs="Arial"/>
                <w:color w:val="165788"/>
              </w:rPr>
              <w:t xml:space="preserve">Bdht are part of Spectrum and subscribe to </w:t>
            </w:r>
            <w:r w:rsidR="00515C7A" w:rsidRPr="004860DD">
              <w:rPr>
                <w:rFonts w:ascii="Arial" w:hAnsi="Arial" w:cs="Arial"/>
                <w:color w:val="165788"/>
              </w:rPr>
              <w:t>an</w:t>
            </w:r>
            <w:r w:rsidRPr="004860DD">
              <w:rPr>
                <w:rFonts w:ascii="Arial" w:hAnsi="Arial" w:cs="Arial"/>
                <w:color w:val="165788"/>
              </w:rPr>
              <w:t xml:space="preserve"> Automated Valuation Model</w:t>
            </w:r>
            <w:r w:rsidR="00515C7A" w:rsidRPr="004860DD">
              <w:rPr>
                <w:rFonts w:ascii="Arial" w:hAnsi="Arial" w:cs="Arial"/>
                <w:color w:val="165788"/>
              </w:rPr>
              <w:t xml:space="preserve"> p</w:t>
            </w:r>
            <w:r w:rsidRPr="004860DD">
              <w:rPr>
                <w:rFonts w:ascii="Arial" w:hAnsi="Arial" w:cs="Arial"/>
                <w:color w:val="165788"/>
              </w:rPr>
              <w:t xml:space="preserve">roduced by Savill’s </w:t>
            </w:r>
            <w:r w:rsidR="00515C7A" w:rsidRPr="004860DD">
              <w:rPr>
                <w:rFonts w:ascii="Arial" w:hAnsi="Arial" w:cs="Arial"/>
                <w:color w:val="165788"/>
              </w:rPr>
              <w:t>and accessed via</w:t>
            </w:r>
            <w:r w:rsidRPr="004860DD">
              <w:rPr>
                <w:rFonts w:ascii="Arial" w:hAnsi="Arial" w:cs="Arial"/>
                <w:color w:val="165788"/>
              </w:rPr>
              <w:t xml:space="preserve"> their Rent Portal. This enables bdht to establish the 100% market rent for any individual property. From there we calculate the 80% Affordable Rent making allowance for the service charge. Savill’s AVM is recognised by both </w:t>
            </w:r>
            <w:r w:rsidR="004860DD" w:rsidRPr="004860DD">
              <w:rPr>
                <w:rFonts w:ascii="Arial" w:hAnsi="Arial" w:cs="Arial"/>
                <w:color w:val="165788"/>
              </w:rPr>
              <w:t>Homes England</w:t>
            </w:r>
            <w:r w:rsidRPr="004860DD">
              <w:rPr>
                <w:rFonts w:ascii="Arial" w:hAnsi="Arial" w:cs="Arial"/>
                <w:color w:val="165788"/>
              </w:rPr>
              <w:t xml:space="preserve"> and the RICS. bdht uses this methodology for both lets to new tenants and re-lets/renewals to existing tenants. </w:t>
            </w:r>
          </w:p>
          <w:p w:rsidR="000A51E7" w:rsidRPr="004860DD" w:rsidRDefault="000A51E7" w:rsidP="000A51E7">
            <w:pPr>
              <w:rPr>
                <w:rFonts w:ascii="Arial" w:hAnsi="Arial" w:cs="Arial"/>
                <w:color w:val="165788"/>
              </w:rPr>
            </w:pPr>
          </w:p>
          <w:p w:rsidR="000A51E7" w:rsidRPr="004860DD" w:rsidRDefault="000A51E7" w:rsidP="000A51E7">
            <w:pPr>
              <w:rPr>
                <w:rFonts w:ascii="Arial" w:hAnsi="Arial" w:cs="Arial"/>
                <w:color w:val="165788"/>
              </w:rPr>
            </w:pPr>
            <w:r w:rsidRPr="004860DD">
              <w:rPr>
                <w:rFonts w:ascii="Arial" w:hAnsi="Arial" w:cs="Arial"/>
                <w:color w:val="165788"/>
              </w:rPr>
              <w:t xml:space="preserve">Affordable rents are reviewed annually by Board. Rents were last reviewed by Board on the </w:t>
            </w:r>
            <w:r w:rsidR="004860DD" w:rsidRPr="004860DD">
              <w:rPr>
                <w:rFonts w:ascii="Arial" w:hAnsi="Arial" w:cs="Arial"/>
                <w:color w:val="165788"/>
              </w:rPr>
              <w:t>7</w:t>
            </w:r>
            <w:r w:rsidR="00397590" w:rsidRPr="004860DD">
              <w:rPr>
                <w:rFonts w:ascii="Arial" w:hAnsi="Arial" w:cs="Arial"/>
                <w:color w:val="165788"/>
                <w:vertAlign w:val="superscript"/>
              </w:rPr>
              <w:t>th</w:t>
            </w:r>
            <w:r w:rsidR="00397590" w:rsidRPr="004860DD">
              <w:rPr>
                <w:rFonts w:ascii="Arial" w:hAnsi="Arial" w:cs="Arial"/>
                <w:color w:val="165788"/>
              </w:rPr>
              <w:t xml:space="preserve"> December</w:t>
            </w:r>
            <w:r w:rsidRPr="004860DD">
              <w:rPr>
                <w:rFonts w:ascii="Arial" w:hAnsi="Arial" w:cs="Arial"/>
                <w:color w:val="165788"/>
              </w:rPr>
              <w:t xml:space="preserve"> 201</w:t>
            </w:r>
            <w:r w:rsidR="004860DD" w:rsidRPr="004860DD">
              <w:rPr>
                <w:rFonts w:ascii="Arial" w:hAnsi="Arial" w:cs="Arial"/>
                <w:color w:val="165788"/>
              </w:rPr>
              <w:t>7</w:t>
            </w:r>
            <w:r w:rsidRPr="004860DD">
              <w:rPr>
                <w:rFonts w:ascii="Arial" w:hAnsi="Arial" w:cs="Arial"/>
                <w:color w:val="165788"/>
              </w:rPr>
              <w:t xml:space="preserve"> for 201</w:t>
            </w:r>
            <w:r w:rsidR="004860DD" w:rsidRPr="004860DD">
              <w:rPr>
                <w:rFonts w:ascii="Arial" w:hAnsi="Arial" w:cs="Arial"/>
                <w:color w:val="165788"/>
              </w:rPr>
              <w:t>8</w:t>
            </w:r>
            <w:r w:rsidRPr="004860DD">
              <w:rPr>
                <w:rFonts w:ascii="Arial" w:hAnsi="Arial" w:cs="Arial"/>
                <w:color w:val="165788"/>
              </w:rPr>
              <w:t>/1</w:t>
            </w:r>
            <w:r w:rsidR="004860DD" w:rsidRPr="004860DD">
              <w:rPr>
                <w:rFonts w:ascii="Arial" w:hAnsi="Arial" w:cs="Arial"/>
                <w:color w:val="165788"/>
              </w:rPr>
              <w:t>9</w:t>
            </w:r>
            <w:r w:rsidRPr="004860DD">
              <w:rPr>
                <w:rFonts w:ascii="Arial" w:hAnsi="Arial" w:cs="Arial"/>
                <w:color w:val="165788"/>
              </w:rPr>
              <w:t xml:space="preserve"> when</w:t>
            </w:r>
            <w:r w:rsidR="00397590" w:rsidRPr="004860DD">
              <w:rPr>
                <w:rFonts w:ascii="Arial" w:hAnsi="Arial" w:cs="Arial"/>
                <w:color w:val="165788"/>
              </w:rPr>
              <w:t xml:space="preserve"> a reduction of 1.0% was approved</w:t>
            </w:r>
            <w:r w:rsidR="00743332" w:rsidRPr="004860DD">
              <w:rPr>
                <w:rFonts w:ascii="Arial" w:hAnsi="Arial" w:cs="Arial"/>
                <w:color w:val="165788"/>
              </w:rPr>
              <w:t xml:space="preserve"> in accordance with the Welfare Reform &amp; Work Act 2016</w:t>
            </w:r>
            <w:r w:rsidRPr="004860DD">
              <w:rPr>
                <w:rFonts w:ascii="Arial" w:hAnsi="Arial" w:cs="Arial"/>
                <w:color w:val="165788"/>
              </w:rPr>
              <w:t>.</w:t>
            </w:r>
            <w:r w:rsidR="00754865" w:rsidRPr="004860DD">
              <w:rPr>
                <w:rFonts w:ascii="Arial" w:hAnsi="Arial" w:cs="Arial"/>
                <w:color w:val="165788"/>
              </w:rPr>
              <w:t xml:space="preserve"> </w:t>
            </w:r>
          </w:p>
          <w:p w:rsidR="000A51E7" w:rsidRPr="004860DD" w:rsidRDefault="000A51E7" w:rsidP="000A51E7">
            <w:pPr>
              <w:rPr>
                <w:rFonts w:ascii="Arial" w:hAnsi="Arial" w:cs="Arial"/>
                <w:color w:val="165788"/>
              </w:rPr>
            </w:pPr>
          </w:p>
          <w:p w:rsidR="000A51E7" w:rsidRPr="004860DD" w:rsidRDefault="000A51E7" w:rsidP="000A51E7">
            <w:pPr>
              <w:rPr>
                <w:rFonts w:ascii="Arial" w:hAnsi="Arial" w:cs="Arial"/>
                <w:color w:val="165788"/>
              </w:rPr>
            </w:pPr>
            <w:r w:rsidRPr="004860DD">
              <w:rPr>
                <w:rFonts w:ascii="Arial" w:hAnsi="Arial" w:cs="Arial"/>
                <w:color w:val="165788"/>
              </w:rPr>
              <w:t xml:space="preserve">BDHT has established procedures to ensure that rents are re-set in accordance with 2.3 ( c ). </w:t>
            </w:r>
          </w:p>
          <w:p w:rsidR="000A51E7" w:rsidRPr="007D187B" w:rsidRDefault="000A51E7" w:rsidP="000A51E7">
            <w:pPr>
              <w:ind w:left="34" w:hanging="34"/>
              <w:rPr>
                <w:rFonts w:ascii="Arial" w:hAnsi="Arial" w:cs="Arial"/>
                <w:b/>
                <w:color w:val="42145F"/>
              </w:rPr>
            </w:pPr>
          </w:p>
        </w:tc>
      </w:tr>
      <w:tr w:rsidR="000A51E7" w:rsidRPr="007C4B1F" w:rsidTr="004860DD">
        <w:trPr>
          <w:trHeight w:val="766"/>
        </w:trPr>
        <w:tc>
          <w:tcPr>
            <w:tcW w:w="1611" w:type="dxa"/>
            <w:shd w:val="clear" w:color="auto" w:fill="auto"/>
            <w:vAlign w:val="center"/>
          </w:tcPr>
          <w:p w:rsidR="000A51E7" w:rsidRDefault="000A51E7" w:rsidP="000A51E7">
            <w:pPr>
              <w:ind w:left="34" w:hanging="34"/>
              <w:jc w:val="center"/>
              <w:rPr>
                <w:rFonts w:ascii="Arial" w:hAnsi="Arial" w:cs="Arial"/>
                <w:b/>
              </w:rPr>
            </w:pPr>
            <w:r>
              <w:rPr>
                <w:rFonts w:ascii="Arial" w:hAnsi="Arial" w:cs="Arial"/>
                <w:b/>
              </w:rPr>
              <w:t>2.4</w:t>
            </w:r>
          </w:p>
        </w:tc>
        <w:tc>
          <w:tcPr>
            <w:tcW w:w="12418" w:type="dxa"/>
            <w:gridSpan w:val="2"/>
            <w:shd w:val="clear" w:color="auto" w:fill="auto"/>
            <w:vAlign w:val="center"/>
          </w:tcPr>
          <w:p w:rsidR="000A51E7" w:rsidRPr="00EA544F" w:rsidRDefault="000A51E7" w:rsidP="000A51E7">
            <w:pPr>
              <w:pStyle w:val="NormalWeb"/>
              <w:rPr>
                <w:rFonts w:ascii="Arial" w:hAnsi="Arial" w:cs="Arial"/>
                <w:b/>
              </w:rPr>
            </w:pPr>
            <w:r w:rsidRPr="00EA544F">
              <w:rPr>
                <w:rFonts w:ascii="Arial" w:hAnsi="Arial" w:cs="Arial"/>
                <w:b/>
              </w:rPr>
              <w:t>Affordable Rent terms can only be used in relation to accommodation provided pursuant to a housing supply delivery agreement entered into between a private registered provider and the Homes and Communities Agency (HCA) or the Greater London Authority (GLA).</w:t>
            </w:r>
          </w:p>
        </w:tc>
      </w:tr>
      <w:tr w:rsidR="000A51E7" w:rsidRPr="007C4B1F" w:rsidTr="004860DD">
        <w:trPr>
          <w:trHeight w:val="454"/>
        </w:trPr>
        <w:tc>
          <w:tcPr>
            <w:tcW w:w="14029" w:type="dxa"/>
            <w:gridSpan w:val="3"/>
            <w:shd w:val="clear" w:color="auto" w:fill="165788"/>
            <w:vAlign w:val="center"/>
          </w:tcPr>
          <w:p w:rsidR="000A51E7" w:rsidRPr="004860DD" w:rsidRDefault="000A51E7" w:rsidP="000A51E7">
            <w:pPr>
              <w:ind w:left="34" w:hanging="34"/>
              <w:rPr>
                <w:rFonts w:ascii="Arial" w:hAnsi="Arial" w:cs="Arial"/>
                <w:b/>
                <w:color w:val="FFFFFF" w:themeColor="background1"/>
              </w:rPr>
            </w:pPr>
            <w:r w:rsidRPr="004860DD">
              <w:rPr>
                <w:rFonts w:ascii="Arial" w:hAnsi="Arial" w:cs="Arial"/>
                <w:b/>
                <w:color w:val="FFFFFF" w:themeColor="background1"/>
              </w:rPr>
              <w:t>Bdht Compliance Position: Compliant</w:t>
            </w:r>
          </w:p>
        </w:tc>
      </w:tr>
      <w:tr w:rsidR="000A51E7" w:rsidRPr="007C4B1F" w:rsidTr="004860DD">
        <w:trPr>
          <w:trHeight w:val="766"/>
        </w:trPr>
        <w:tc>
          <w:tcPr>
            <w:tcW w:w="14029" w:type="dxa"/>
            <w:gridSpan w:val="3"/>
            <w:shd w:val="clear" w:color="auto" w:fill="auto"/>
            <w:vAlign w:val="center"/>
          </w:tcPr>
          <w:p w:rsidR="000A51E7" w:rsidRPr="004860DD" w:rsidRDefault="000A51E7" w:rsidP="000A51E7">
            <w:pPr>
              <w:rPr>
                <w:rFonts w:ascii="Arial" w:hAnsi="Arial" w:cs="Arial"/>
                <w:color w:val="165788"/>
              </w:rPr>
            </w:pPr>
            <w:r w:rsidRPr="004860DD">
              <w:rPr>
                <w:rFonts w:ascii="Arial" w:hAnsi="Arial" w:cs="Arial"/>
                <w:color w:val="165788"/>
              </w:rPr>
              <w:t xml:space="preserve">Affordable rents are only charged in accordance with the AHP (Affordable Homes Programme) Framework Delivery agreement between bdht (as part of spectrum) and </w:t>
            </w:r>
            <w:r w:rsidR="004860DD" w:rsidRPr="004860DD">
              <w:rPr>
                <w:rFonts w:ascii="Arial" w:hAnsi="Arial" w:cs="Arial"/>
                <w:color w:val="165788"/>
              </w:rPr>
              <w:t>Homes England</w:t>
            </w:r>
            <w:r w:rsidRPr="004860DD">
              <w:rPr>
                <w:rFonts w:ascii="Arial" w:hAnsi="Arial" w:cs="Arial"/>
                <w:color w:val="165788"/>
              </w:rPr>
              <w:t xml:space="preserve"> which includes </w:t>
            </w:r>
            <w:r w:rsidR="004860DD" w:rsidRPr="004860DD">
              <w:rPr>
                <w:rFonts w:ascii="Arial" w:hAnsi="Arial" w:cs="Arial"/>
                <w:color w:val="165788"/>
              </w:rPr>
              <w:t>Regulatory</w:t>
            </w:r>
            <w:r w:rsidRPr="004860DD">
              <w:rPr>
                <w:rFonts w:ascii="Arial" w:hAnsi="Arial" w:cs="Arial"/>
                <w:color w:val="165788"/>
              </w:rPr>
              <w:t xml:space="preserve"> authorisation for bdht to convert a number of social rent tenancies to affordable rents when they become vacant. The same methodology to calculate the affordable rent is as set out above.</w:t>
            </w:r>
          </w:p>
          <w:p w:rsidR="000A51E7" w:rsidRPr="00515C7A" w:rsidRDefault="000A51E7" w:rsidP="000A51E7">
            <w:pPr>
              <w:ind w:left="34" w:hanging="34"/>
              <w:rPr>
                <w:rFonts w:ascii="Arial" w:hAnsi="Arial" w:cs="Arial"/>
                <w:b/>
                <w:color w:val="009B3A"/>
              </w:rPr>
            </w:pPr>
          </w:p>
        </w:tc>
      </w:tr>
      <w:tr w:rsidR="000A51E7" w:rsidRPr="007C4B1F" w:rsidTr="004860DD">
        <w:trPr>
          <w:trHeight w:val="766"/>
        </w:trPr>
        <w:tc>
          <w:tcPr>
            <w:tcW w:w="1611" w:type="dxa"/>
            <w:shd w:val="clear" w:color="auto" w:fill="auto"/>
            <w:vAlign w:val="center"/>
          </w:tcPr>
          <w:p w:rsidR="000A51E7" w:rsidRDefault="000A51E7" w:rsidP="000A51E7">
            <w:pPr>
              <w:ind w:left="34" w:hanging="34"/>
              <w:jc w:val="center"/>
              <w:rPr>
                <w:rFonts w:ascii="Arial" w:hAnsi="Arial" w:cs="Arial"/>
                <w:b/>
              </w:rPr>
            </w:pPr>
            <w:r>
              <w:rPr>
                <w:rFonts w:ascii="Arial" w:hAnsi="Arial" w:cs="Arial"/>
                <w:b/>
              </w:rPr>
              <w:t>2.5</w:t>
            </w:r>
          </w:p>
        </w:tc>
        <w:tc>
          <w:tcPr>
            <w:tcW w:w="12418" w:type="dxa"/>
            <w:gridSpan w:val="2"/>
            <w:shd w:val="clear" w:color="auto" w:fill="auto"/>
          </w:tcPr>
          <w:p w:rsidR="000A51E7" w:rsidRDefault="000A51E7" w:rsidP="000A51E7">
            <w:pPr>
              <w:ind w:left="34" w:hanging="34"/>
              <w:rPr>
                <w:rFonts w:ascii="Arial" w:hAnsi="Arial" w:cs="Arial"/>
                <w:b/>
              </w:rPr>
            </w:pPr>
            <w:r>
              <w:rPr>
                <w:rFonts w:ascii="Arial" w:hAnsi="Arial" w:cs="Arial"/>
                <w:b/>
              </w:rPr>
              <w:t>The Rent Standard shall not apply to rental accommodation let by registered providers to a social housing tenant household during a financial year where the household income was £60,000 or more in the tax year which ended in the financial year preceding the financial year in which the Rent standard will not apply.</w:t>
            </w:r>
          </w:p>
        </w:tc>
      </w:tr>
      <w:tr w:rsidR="000A51E7" w:rsidRPr="007C4B1F" w:rsidTr="004860DD">
        <w:trPr>
          <w:trHeight w:val="575"/>
        </w:trPr>
        <w:tc>
          <w:tcPr>
            <w:tcW w:w="14029" w:type="dxa"/>
            <w:gridSpan w:val="3"/>
            <w:shd w:val="clear" w:color="auto" w:fill="165788"/>
            <w:vAlign w:val="center"/>
          </w:tcPr>
          <w:p w:rsidR="000A51E7" w:rsidRPr="004860DD" w:rsidRDefault="000A51E7" w:rsidP="000A51E7">
            <w:pPr>
              <w:ind w:left="34" w:hanging="34"/>
              <w:rPr>
                <w:rFonts w:ascii="Arial" w:hAnsi="Arial" w:cs="Arial"/>
                <w:b/>
                <w:color w:val="FFFFFF" w:themeColor="background1"/>
              </w:rPr>
            </w:pPr>
            <w:r w:rsidRPr="004860DD">
              <w:rPr>
                <w:rFonts w:ascii="Arial" w:hAnsi="Arial" w:cs="Arial"/>
                <w:b/>
                <w:color w:val="FFFFFF" w:themeColor="background1"/>
              </w:rPr>
              <w:t>Bdht Compliance Position: Compliant</w:t>
            </w:r>
          </w:p>
        </w:tc>
      </w:tr>
      <w:tr w:rsidR="000A51E7" w:rsidRPr="007C4B1F" w:rsidTr="004860DD">
        <w:trPr>
          <w:trHeight w:val="766"/>
        </w:trPr>
        <w:tc>
          <w:tcPr>
            <w:tcW w:w="14029" w:type="dxa"/>
            <w:gridSpan w:val="3"/>
            <w:shd w:val="clear" w:color="auto" w:fill="auto"/>
            <w:vAlign w:val="center"/>
          </w:tcPr>
          <w:p w:rsidR="000A51E7" w:rsidRDefault="000A51E7" w:rsidP="000A51E7">
            <w:pPr>
              <w:ind w:left="34" w:hanging="34"/>
              <w:rPr>
                <w:rFonts w:ascii="Arial" w:hAnsi="Arial" w:cs="Arial"/>
                <w:b/>
              </w:rPr>
            </w:pPr>
          </w:p>
        </w:tc>
      </w:tr>
      <w:tr w:rsidR="000A51E7" w:rsidRPr="007C4B1F" w:rsidTr="004860DD">
        <w:trPr>
          <w:trHeight w:val="766"/>
        </w:trPr>
        <w:tc>
          <w:tcPr>
            <w:tcW w:w="1611" w:type="dxa"/>
            <w:shd w:val="clear" w:color="auto" w:fill="auto"/>
            <w:vAlign w:val="center"/>
          </w:tcPr>
          <w:p w:rsidR="000A51E7" w:rsidRDefault="000A51E7" w:rsidP="000A51E7">
            <w:pPr>
              <w:ind w:left="34" w:hanging="34"/>
              <w:jc w:val="center"/>
              <w:rPr>
                <w:rFonts w:ascii="Arial" w:hAnsi="Arial" w:cs="Arial"/>
                <w:b/>
              </w:rPr>
            </w:pPr>
            <w:r>
              <w:rPr>
                <w:rFonts w:ascii="Arial" w:hAnsi="Arial" w:cs="Arial"/>
                <w:b/>
              </w:rPr>
              <w:t>2.6</w:t>
            </w:r>
          </w:p>
        </w:tc>
        <w:tc>
          <w:tcPr>
            <w:tcW w:w="12418" w:type="dxa"/>
            <w:gridSpan w:val="2"/>
            <w:shd w:val="clear" w:color="auto" w:fill="auto"/>
            <w:vAlign w:val="center"/>
          </w:tcPr>
          <w:p w:rsidR="000A51E7" w:rsidRPr="00494D12" w:rsidRDefault="000A51E7" w:rsidP="000A51E7">
            <w:pPr>
              <w:pStyle w:val="NormalWeb"/>
              <w:rPr>
                <w:rFonts w:ascii="Arial" w:hAnsi="Arial" w:cs="Arial"/>
                <w:b/>
              </w:rPr>
            </w:pPr>
            <w:r w:rsidRPr="00494D12">
              <w:rPr>
                <w:rFonts w:ascii="Arial" w:hAnsi="Arial" w:cs="Arial"/>
                <w:b/>
              </w:rPr>
              <w:t>Where the application of the Rent Standard would cause providers to be unable to meet other standards, particularly in respect of financial viability, including the risk that a reduction in overall rental income causes them to risk failing to meet existing commitments such as banking or lending covenants, the regulator may agree to waive specific requirements of the Rent Standard for a period of time.</w:t>
            </w:r>
          </w:p>
        </w:tc>
      </w:tr>
      <w:tr w:rsidR="000C3B46" w:rsidRPr="007C4B1F" w:rsidTr="004860DD">
        <w:trPr>
          <w:trHeight w:val="766"/>
        </w:trPr>
        <w:tc>
          <w:tcPr>
            <w:tcW w:w="14029" w:type="dxa"/>
            <w:gridSpan w:val="3"/>
            <w:shd w:val="clear" w:color="auto" w:fill="auto"/>
            <w:vAlign w:val="center"/>
          </w:tcPr>
          <w:p w:rsidR="00012B78" w:rsidRPr="00012B78" w:rsidRDefault="00012B78" w:rsidP="00012B78">
            <w:pPr>
              <w:rPr>
                <w:rFonts w:ascii="Arial" w:hAnsi="Arial" w:cs="Arial"/>
                <w:b/>
                <w:color w:val="0B0C0C"/>
                <w:shd w:val="clear" w:color="auto" w:fill="FFFFFF"/>
              </w:rPr>
            </w:pPr>
            <w:r w:rsidRPr="00012B78">
              <w:rPr>
                <w:rFonts w:ascii="Arial" w:hAnsi="Arial" w:cs="Arial"/>
                <w:b/>
                <w:color w:val="0B0C0C"/>
                <w:shd w:val="clear" w:color="auto" w:fill="FFFFFF"/>
              </w:rPr>
              <w:t>The Welfare Reform &amp; Work Act 2016</w:t>
            </w:r>
          </w:p>
          <w:p w:rsidR="000C3B46" w:rsidRPr="00DB5E3B" w:rsidRDefault="000C3B46" w:rsidP="000C3B46">
            <w:pPr>
              <w:pStyle w:val="NormalWeb"/>
              <w:shd w:val="clear" w:color="auto" w:fill="FFFFFF"/>
              <w:spacing w:before="150" w:beforeAutospacing="0" w:after="150" w:afterAutospacing="0"/>
              <w:rPr>
                <w:rFonts w:ascii="Arial" w:hAnsi="Arial" w:cs="Arial"/>
                <w:b/>
                <w:bCs/>
                <w:color w:val="0B0C0C"/>
              </w:rPr>
            </w:pPr>
            <w:r w:rsidRPr="00DB5E3B">
              <w:rPr>
                <w:rFonts w:ascii="Arial" w:hAnsi="Arial" w:cs="Arial"/>
                <w:b/>
                <w:bCs/>
                <w:color w:val="0B0C0C"/>
              </w:rPr>
              <w:t>Exemptions from rent reduction</w:t>
            </w:r>
          </w:p>
          <w:p w:rsidR="000C3B46" w:rsidRPr="00C81FC7" w:rsidRDefault="000C3B46" w:rsidP="0099205E">
            <w:pPr>
              <w:shd w:val="clear" w:color="auto" w:fill="FFFFFF"/>
              <w:spacing w:before="150" w:after="150"/>
              <w:rPr>
                <w:rFonts w:ascii="Arial" w:hAnsi="Arial" w:cs="Arial"/>
                <w:b/>
                <w:color w:val="42145F"/>
              </w:rPr>
            </w:pPr>
            <w:r w:rsidRPr="00DB5E3B">
              <w:rPr>
                <w:rFonts w:ascii="Arial" w:hAnsi="Arial" w:cs="Arial"/>
                <w:color w:val="0B0C0C"/>
                <w:lang w:eastAsia="en-GB" w:bidi="ar-SA"/>
              </w:rPr>
              <w:t>A private registered provider may be granted an exemption from the requirements of the Act if the regulator considers that complying with the rent reduction requirements would jeopardise the provider’s financial viability or where exempted stock owned by providers in financial difficulties is sold or transferred to another private registered provider.</w:t>
            </w:r>
          </w:p>
        </w:tc>
      </w:tr>
      <w:tr w:rsidR="000A51E7" w:rsidRPr="007C4B1F" w:rsidTr="004860DD">
        <w:trPr>
          <w:trHeight w:val="766"/>
        </w:trPr>
        <w:tc>
          <w:tcPr>
            <w:tcW w:w="14029" w:type="dxa"/>
            <w:gridSpan w:val="3"/>
            <w:shd w:val="clear" w:color="auto" w:fill="165788"/>
            <w:vAlign w:val="center"/>
          </w:tcPr>
          <w:p w:rsidR="000A51E7" w:rsidRPr="004860DD" w:rsidRDefault="000A51E7" w:rsidP="000A51E7">
            <w:pPr>
              <w:ind w:left="34" w:hanging="34"/>
              <w:rPr>
                <w:rFonts w:ascii="Arial" w:hAnsi="Arial" w:cs="Arial"/>
                <w:b/>
                <w:color w:val="FFFFFF" w:themeColor="background1"/>
              </w:rPr>
            </w:pPr>
            <w:r w:rsidRPr="004860DD">
              <w:rPr>
                <w:rFonts w:ascii="Arial" w:hAnsi="Arial" w:cs="Arial"/>
                <w:b/>
                <w:color w:val="FFFFFF" w:themeColor="background1"/>
              </w:rPr>
              <w:t>Bdht Compliance Position</w:t>
            </w:r>
            <w:r w:rsidR="004860DD">
              <w:rPr>
                <w:rFonts w:ascii="Arial" w:hAnsi="Arial" w:cs="Arial"/>
                <w:b/>
                <w:color w:val="FFFFFF" w:themeColor="background1"/>
              </w:rPr>
              <w:t>: Compliant</w:t>
            </w:r>
          </w:p>
        </w:tc>
      </w:tr>
      <w:tr w:rsidR="000A51E7" w:rsidRPr="007C4B1F" w:rsidTr="004860DD">
        <w:trPr>
          <w:trHeight w:val="766"/>
        </w:trPr>
        <w:tc>
          <w:tcPr>
            <w:tcW w:w="14029" w:type="dxa"/>
            <w:gridSpan w:val="3"/>
            <w:shd w:val="clear" w:color="auto" w:fill="auto"/>
            <w:vAlign w:val="center"/>
          </w:tcPr>
          <w:p w:rsidR="000A51E7" w:rsidRPr="0059573A" w:rsidRDefault="0059573A" w:rsidP="0059573A">
            <w:pPr>
              <w:ind w:left="34" w:hanging="34"/>
              <w:rPr>
                <w:rFonts w:ascii="Arial" w:hAnsi="Arial" w:cs="Arial"/>
                <w:b/>
                <w:color w:val="009B3A"/>
              </w:rPr>
            </w:pPr>
            <w:r w:rsidRPr="004860DD">
              <w:rPr>
                <w:rFonts w:ascii="Arial" w:hAnsi="Arial" w:cs="Arial"/>
                <w:color w:val="165788"/>
              </w:rPr>
              <w:t xml:space="preserve">Board have determined, as part of the Business Planning Review that there is no need to request a waiver as set out at section 2.6 as the business continues to deliver strong financial performance and remains viable despite the rent reduction. </w:t>
            </w:r>
          </w:p>
        </w:tc>
      </w:tr>
      <w:tr w:rsidR="000A51E7" w:rsidRPr="007C4B1F" w:rsidTr="004860DD">
        <w:trPr>
          <w:trHeight w:val="766"/>
        </w:trPr>
        <w:tc>
          <w:tcPr>
            <w:tcW w:w="1611" w:type="dxa"/>
            <w:shd w:val="clear" w:color="auto" w:fill="auto"/>
            <w:vAlign w:val="center"/>
          </w:tcPr>
          <w:p w:rsidR="000A51E7" w:rsidRDefault="000A51E7" w:rsidP="000A51E7">
            <w:pPr>
              <w:ind w:left="34" w:hanging="34"/>
              <w:jc w:val="center"/>
              <w:rPr>
                <w:rFonts w:ascii="Arial" w:hAnsi="Arial" w:cs="Arial"/>
                <w:b/>
              </w:rPr>
            </w:pPr>
            <w:r>
              <w:rPr>
                <w:rFonts w:ascii="Arial" w:hAnsi="Arial" w:cs="Arial"/>
                <w:b/>
              </w:rPr>
              <w:t>2.7</w:t>
            </w:r>
          </w:p>
        </w:tc>
        <w:tc>
          <w:tcPr>
            <w:tcW w:w="12418" w:type="dxa"/>
            <w:gridSpan w:val="2"/>
            <w:shd w:val="clear" w:color="auto" w:fill="auto"/>
            <w:vAlign w:val="center"/>
          </w:tcPr>
          <w:p w:rsidR="000A51E7" w:rsidRPr="00494D12" w:rsidRDefault="000A51E7" w:rsidP="000A51E7">
            <w:pPr>
              <w:rPr>
                <w:rFonts w:ascii="Arial" w:hAnsi="Arial" w:cs="Arial"/>
                <w:b/>
              </w:rPr>
            </w:pPr>
            <w:r w:rsidRPr="00494D12">
              <w:rPr>
                <w:rFonts w:ascii="Arial" w:hAnsi="Arial" w:cs="Arial"/>
                <w:b/>
              </w:rPr>
              <w:t>Registered providers shall provide clear information to tenants that explains how their rent and any service charge are set, and how they are changed, including reference to the CPI benchmark to which annual changes to rents should be linked (except where rents are controlled under different legislation).</w:t>
            </w:r>
          </w:p>
        </w:tc>
      </w:tr>
      <w:tr w:rsidR="000A51E7" w:rsidRPr="007C4B1F" w:rsidTr="004860DD">
        <w:trPr>
          <w:trHeight w:val="509"/>
        </w:trPr>
        <w:tc>
          <w:tcPr>
            <w:tcW w:w="14029" w:type="dxa"/>
            <w:gridSpan w:val="3"/>
            <w:shd w:val="clear" w:color="auto" w:fill="165788"/>
            <w:vAlign w:val="center"/>
          </w:tcPr>
          <w:p w:rsidR="000A51E7" w:rsidRPr="004860DD" w:rsidRDefault="000A51E7" w:rsidP="000A51E7">
            <w:pPr>
              <w:ind w:left="34" w:hanging="34"/>
              <w:rPr>
                <w:rFonts w:ascii="Arial" w:hAnsi="Arial" w:cs="Arial"/>
                <w:b/>
                <w:color w:val="FFFFFF" w:themeColor="background1"/>
              </w:rPr>
            </w:pPr>
            <w:r w:rsidRPr="004860DD">
              <w:rPr>
                <w:rFonts w:ascii="Arial" w:hAnsi="Arial" w:cs="Arial"/>
                <w:b/>
                <w:color w:val="FFFFFF" w:themeColor="background1"/>
              </w:rPr>
              <w:t>Bdht Compliance Position: Compliant</w:t>
            </w:r>
          </w:p>
        </w:tc>
      </w:tr>
      <w:tr w:rsidR="000A51E7" w:rsidRPr="007C4B1F" w:rsidTr="004860DD">
        <w:trPr>
          <w:trHeight w:val="766"/>
        </w:trPr>
        <w:tc>
          <w:tcPr>
            <w:tcW w:w="14029" w:type="dxa"/>
            <w:gridSpan w:val="3"/>
            <w:shd w:val="clear" w:color="auto" w:fill="auto"/>
            <w:vAlign w:val="center"/>
          </w:tcPr>
          <w:p w:rsidR="000A51E7" w:rsidRPr="004860DD" w:rsidRDefault="000A51E7" w:rsidP="000A51E7">
            <w:pPr>
              <w:rPr>
                <w:color w:val="165788"/>
                <w:sz w:val="22"/>
                <w:szCs w:val="22"/>
              </w:rPr>
            </w:pPr>
            <w:r w:rsidRPr="004860DD">
              <w:rPr>
                <w:rFonts w:ascii="Arial" w:hAnsi="Arial" w:cs="Arial"/>
                <w:color w:val="165788"/>
                <w:lang w:eastAsia="en-GB"/>
              </w:rPr>
              <w:t xml:space="preserve">bdht write to all tenants annually giving at least 28 days notice of any change in the rent charged. This letter gives extensive information about the change in rent charged. </w:t>
            </w:r>
          </w:p>
          <w:p w:rsidR="000A51E7" w:rsidRPr="00D62694" w:rsidRDefault="000A51E7" w:rsidP="000A51E7">
            <w:pPr>
              <w:rPr>
                <w:rFonts w:ascii="Times New Roman" w:hAnsi="Times New Roman"/>
                <w:color w:val="42145F"/>
              </w:rPr>
            </w:pPr>
          </w:p>
          <w:p w:rsidR="000A51E7" w:rsidRPr="00D62694" w:rsidRDefault="000A51E7" w:rsidP="000A51E7">
            <w:pPr>
              <w:ind w:left="34" w:hanging="34"/>
              <w:rPr>
                <w:rFonts w:ascii="Arial" w:hAnsi="Arial" w:cs="Arial"/>
                <w:b/>
                <w:color w:val="42145F"/>
              </w:rPr>
            </w:pPr>
          </w:p>
        </w:tc>
      </w:tr>
      <w:tr w:rsidR="000A51E7" w:rsidRPr="007C4B1F" w:rsidTr="004860DD">
        <w:trPr>
          <w:trHeight w:val="454"/>
        </w:trPr>
        <w:tc>
          <w:tcPr>
            <w:tcW w:w="14029" w:type="dxa"/>
            <w:gridSpan w:val="3"/>
            <w:shd w:val="clear" w:color="auto" w:fill="165788"/>
            <w:vAlign w:val="center"/>
          </w:tcPr>
          <w:p w:rsidR="000A51E7" w:rsidRPr="000F6206" w:rsidRDefault="000A51E7" w:rsidP="000A51E7">
            <w:pPr>
              <w:rPr>
                <w:rFonts w:ascii="Arial" w:hAnsi="Arial" w:cs="Arial"/>
                <w:color w:val="FFFFFF" w:themeColor="background1"/>
              </w:rPr>
            </w:pPr>
            <w:r w:rsidRPr="000F6206">
              <w:rPr>
                <w:rFonts w:ascii="Arial" w:hAnsi="Arial" w:cs="Arial"/>
                <w:b/>
                <w:color w:val="FFFFFF" w:themeColor="background1"/>
              </w:rPr>
              <w:t>Recommendations for Improvement</w:t>
            </w:r>
          </w:p>
        </w:tc>
      </w:tr>
      <w:tr w:rsidR="00A63C00" w:rsidRPr="007C4B1F" w:rsidTr="00B951B2">
        <w:trPr>
          <w:trHeight w:val="454"/>
        </w:trPr>
        <w:tc>
          <w:tcPr>
            <w:tcW w:w="14029" w:type="dxa"/>
            <w:gridSpan w:val="3"/>
            <w:shd w:val="clear" w:color="auto" w:fill="auto"/>
            <w:vAlign w:val="center"/>
          </w:tcPr>
          <w:p w:rsidR="00A63C00" w:rsidRPr="004860DD" w:rsidRDefault="00A63C00" w:rsidP="00494D12">
            <w:pPr>
              <w:rPr>
                <w:rFonts w:ascii="Arial" w:hAnsi="Arial" w:cs="Arial"/>
                <w:color w:val="165788"/>
              </w:rPr>
            </w:pPr>
          </w:p>
        </w:tc>
      </w:tr>
    </w:tbl>
    <w:p w:rsidR="00A5651A" w:rsidRDefault="00A5651A" w:rsidP="00012B78">
      <w:pPr>
        <w:rPr>
          <w:rFonts w:ascii="Arial" w:hAnsi="Arial" w:cs="Arial"/>
        </w:rPr>
      </w:pPr>
    </w:p>
    <w:sectPr w:rsidR="00A5651A" w:rsidSect="0085137F">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8AB" w:rsidRDefault="00E568AB" w:rsidP="00C61247">
      <w:r>
        <w:separator/>
      </w:r>
    </w:p>
  </w:endnote>
  <w:endnote w:type="continuationSeparator" w:id="0">
    <w:p w:rsidR="00E568AB" w:rsidRDefault="00E568AB" w:rsidP="00C6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8AB" w:rsidRPr="00083EDD" w:rsidRDefault="00E568AB" w:rsidP="00EB039D">
    <w:pPr>
      <w:pStyle w:val="Footer"/>
      <w:shd w:val="clear" w:color="auto" w:fill="165788"/>
      <w:rPr>
        <w:rFonts w:ascii="Arial" w:hAnsi="Arial" w:cs="Arial"/>
        <w:color w:val="FFFFFF" w:themeColor="background1"/>
        <w:sz w:val="20"/>
        <w:szCs w:val="20"/>
      </w:rPr>
    </w:pPr>
    <w:r w:rsidRPr="00083EDD">
      <w:rPr>
        <w:rFonts w:ascii="Arial" w:hAnsi="Arial" w:cs="Arial"/>
        <w:color w:val="FFFFFF" w:themeColor="background1"/>
        <w:sz w:val="20"/>
        <w:szCs w:val="20"/>
      </w:rPr>
      <w:t xml:space="preserve">Annual Assessment of Compliance with </w:t>
    </w:r>
    <w:r>
      <w:rPr>
        <w:rFonts w:ascii="Arial" w:hAnsi="Arial" w:cs="Arial"/>
        <w:color w:val="FFFFFF" w:themeColor="background1"/>
        <w:sz w:val="20"/>
        <w:szCs w:val="20"/>
      </w:rPr>
      <w:t>RSH</w:t>
    </w:r>
    <w:r w:rsidRPr="00083EDD">
      <w:rPr>
        <w:rFonts w:ascii="Arial" w:hAnsi="Arial" w:cs="Arial"/>
        <w:color w:val="FFFFFF" w:themeColor="background1"/>
        <w:sz w:val="20"/>
        <w:szCs w:val="20"/>
      </w:rPr>
      <w:t xml:space="preserve"> Economic Standards</w:t>
    </w:r>
  </w:p>
  <w:p w:rsidR="00E568AB" w:rsidRPr="00083EDD" w:rsidRDefault="00E568AB" w:rsidP="00EB039D">
    <w:pPr>
      <w:pStyle w:val="Footer"/>
      <w:shd w:val="clear" w:color="auto" w:fill="165788"/>
      <w:tabs>
        <w:tab w:val="clear" w:pos="4513"/>
        <w:tab w:val="clear" w:pos="9026"/>
        <w:tab w:val="right" w:pos="13958"/>
      </w:tabs>
      <w:rPr>
        <w:rFonts w:ascii="Arial" w:hAnsi="Arial" w:cs="Arial"/>
        <w:color w:val="FFFFFF" w:themeColor="background1"/>
        <w:sz w:val="20"/>
        <w:szCs w:val="20"/>
      </w:rPr>
    </w:pPr>
    <w:r w:rsidRPr="00083EDD">
      <w:rPr>
        <w:rFonts w:ascii="Arial" w:hAnsi="Arial" w:cs="Arial"/>
        <w:color w:val="FFFFFF" w:themeColor="background1"/>
        <w:sz w:val="20"/>
        <w:szCs w:val="20"/>
      </w:rPr>
      <w:t>Version 1.0</w:t>
    </w:r>
    <w:r w:rsidRPr="00083EDD">
      <w:rPr>
        <w:rFonts w:ascii="Arial" w:hAnsi="Arial" w:cs="Arial"/>
        <w:color w:val="FFFFFF" w:themeColor="background1"/>
        <w:sz w:val="20"/>
        <w:szCs w:val="20"/>
      </w:rPr>
      <w:tab/>
    </w:r>
  </w:p>
  <w:p w:rsidR="00E568AB" w:rsidRPr="00083EDD" w:rsidRDefault="00E568AB" w:rsidP="00EB039D">
    <w:pPr>
      <w:pStyle w:val="Footer"/>
      <w:shd w:val="clear" w:color="auto" w:fill="165788"/>
      <w:rPr>
        <w:rFonts w:ascii="Arial" w:hAnsi="Arial" w:cs="Arial"/>
        <w:color w:val="FFFFFF" w:themeColor="background1"/>
        <w:sz w:val="20"/>
        <w:szCs w:val="20"/>
      </w:rPr>
    </w:pPr>
    <w:r w:rsidRPr="00083EDD">
      <w:rPr>
        <w:rFonts w:ascii="Arial" w:hAnsi="Arial" w:cs="Arial"/>
        <w:color w:val="FFFFFF" w:themeColor="background1"/>
        <w:sz w:val="20"/>
        <w:szCs w:val="20"/>
      </w:rPr>
      <w:t>June 201</w:t>
    </w:r>
    <w:r>
      <w:rPr>
        <w:rFonts w:ascii="Arial" w:hAnsi="Arial" w:cs="Arial"/>
        <w:color w:val="FFFFFF" w:themeColor="background1"/>
        <w:sz w:val="20"/>
        <w:szCs w:val="20"/>
      </w:rPr>
      <w:t>8</w:t>
    </w:r>
  </w:p>
  <w:p w:rsidR="00E568AB" w:rsidRPr="00C61247" w:rsidRDefault="00E568AB" w:rsidP="00EB039D">
    <w:pPr>
      <w:pStyle w:val="Footer"/>
      <w:shd w:val="clear" w:color="auto" w:fill="165788"/>
      <w:tabs>
        <w:tab w:val="clear" w:pos="4513"/>
        <w:tab w:val="clear" w:pos="9026"/>
        <w:tab w:val="right" w:pos="13958"/>
      </w:tabs>
      <w:rPr>
        <w:rFonts w:ascii="Arial" w:hAnsi="Arial" w:cs="Arial"/>
        <w:sz w:val="20"/>
        <w:szCs w:val="20"/>
      </w:rPr>
    </w:pPr>
    <w:r w:rsidRPr="00083EDD">
      <w:rPr>
        <w:rFonts w:ascii="Arial" w:hAnsi="Arial" w:cs="Arial"/>
        <w:color w:val="FFFFFF" w:themeColor="background1"/>
        <w:sz w:val="20"/>
        <w:szCs w:val="20"/>
      </w:rPr>
      <w:t>Compliance Committee</w:t>
    </w: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8AB" w:rsidRDefault="00E568AB" w:rsidP="00C61247">
      <w:r>
        <w:separator/>
      </w:r>
    </w:p>
  </w:footnote>
  <w:footnote w:type="continuationSeparator" w:id="0">
    <w:p w:rsidR="00E568AB" w:rsidRDefault="00E568AB" w:rsidP="00C61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8AB" w:rsidRDefault="00E568AB">
    <w:pPr>
      <w:pStyle w:val="Header"/>
    </w:pPr>
    <w:r>
      <w:fldChar w:fldCharType="begin"/>
    </w:r>
    <w:r>
      <w:instrText xml:space="preserve"> PAGE   \* MERGEFORMAT </w:instrText>
    </w:r>
    <w:r>
      <w:fldChar w:fldCharType="separate"/>
    </w:r>
    <w:r w:rsidR="00804003">
      <w:rPr>
        <w:noProof/>
      </w:rPr>
      <w:t>1</w:t>
    </w:r>
    <w:r>
      <w:rPr>
        <w:noProof/>
      </w:rPr>
      <w:fldChar w:fldCharType="end"/>
    </w:r>
  </w:p>
  <w:p w:rsidR="00E568AB" w:rsidRDefault="00E568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188F"/>
    <w:multiLevelType w:val="hybridMultilevel"/>
    <w:tmpl w:val="454030E8"/>
    <w:lvl w:ilvl="0" w:tplc="8244E2A0">
      <w:start w:val="1"/>
      <w:numFmt w:val="bullet"/>
      <w:lvlText w:val=""/>
      <w:lvlJc w:val="left"/>
      <w:pPr>
        <w:ind w:left="720" w:hanging="360"/>
      </w:pPr>
      <w:rPr>
        <w:rFonts w:ascii="Symbol" w:hAnsi="Symbol" w:hint="default"/>
        <w:color w:val="1657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A2737"/>
    <w:multiLevelType w:val="multilevel"/>
    <w:tmpl w:val="2BB6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43624"/>
    <w:multiLevelType w:val="hybridMultilevel"/>
    <w:tmpl w:val="B888ACCE"/>
    <w:lvl w:ilvl="0" w:tplc="DFA08E0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011DC"/>
    <w:multiLevelType w:val="hybridMultilevel"/>
    <w:tmpl w:val="A31AA168"/>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4" w15:restartNumberingAfterBreak="0">
    <w:nsid w:val="121269FF"/>
    <w:multiLevelType w:val="hybridMultilevel"/>
    <w:tmpl w:val="6DC82698"/>
    <w:lvl w:ilvl="0" w:tplc="624EA1E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A1B24"/>
    <w:multiLevelType w:val="hybridMultilevel"/>
    <w:tmpl w:val="1736B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621C1"/>
    <w:multiLevelType w:val="hybridMultilevel"/>
    <w:tmpl w:val="4EB4E6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9337641"/>
    <w:multiLevelType w:val="multilevel"/>
    <w:tmpl w:val="E2C6431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4C2B07"/>
    <w:multiLevelType w:val="hybridMultilevel"/>
    <w:tmpl w:val="B84E3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C3284D"/>
    <w:multiLevelType w:val="hybridMultilevel"/>
    <w:tmpl w:val="87123F22"/>
    <w:lvl w:ilvl="0" w:tplc="08090017">
      <w:start w:val="1"/>
      <w:numFmt w:val="lowerLetter"/>
      <w:lvlText w:val="%1)"/>
      <w:lvlJc w:val="left"/>
      <w:pPr>
        <w:ind w:left="753" w:hanging="360"/>
      </w:pPr>
      <w:rPr>
        <w:rFonts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0" w15:restartNumberingAfterBreak="0">
    <w:nsid w:val="2D3503CC"/>
    <w:multiLevelType w:val="hybridMultilevel"/>
    <w:tmpl w:val="C17EA4A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 w15:restartNumberingAfterBreak="0">
    <w:nsid w:val="2E14647F"/>
    <w:multiLevelType w:val="multilevel"/>
    <w:tmpl w:val="7706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1A7F8F"/>
    <w:multiLevelType w:val="hybridMultilevel"/>
    <w:tmpl w:val="323EDC2A"/>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3" w15:restartNumberingAfterBreak="0">
    <w:nsid w:val="3525055E"/>
    <w:multiLevelType w:val="multilevel"/>
    <w:tmpl w:val="45FE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6502AD"/>
    <w:multiLevelType w:val="multilevel"/>
    <w:tmpl w:val="A112C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4E49C0"/>
    <w:multiLevelType w:val="hybridMultilevel"/>
    <w:tmpl w:val="19683076"/>
    <w:lvl w:ilvl="0" w:tplc="624EA1EA">
      <w:start w:val="1"/>
      <w:numFmt w:val="bullet"/>
      <w:lvlText w:val=""/>
      <w:lvlJc w:val="left"/>
      <w:pPr>
        <w:ind w:left="720" w:hanging="360"/>
      </w:pPr>
      <w:rPr>
        <w:rFonts w:ascii="Symbol" w:hAnsi="Symbol" w:hint="default"/>
        <w:sz w:val="24"/>
        <w:szCs w:val="24"/>
      </w:rPr>
    </w:lvl>
    <w:lvl w:ilvl="1" w:tplc="74427186">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EE0BDB"/>
    <w:multiLevelType w:val="hybridMultilevel"/>
    <w:tmpl w:val="E2D6D8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47DF7A47"/>
    <w:multiLevelType w:val="multilevel"/>
    <w:tmpl w:val="983EED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9B3749"/>
    <w:multiLevelType w:val="hybridMultilevel"/>
    <w:tmpl w:val="60ECC5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9615511"/>
    <w:multiLevelType w:val="multilevel"/>
    <w:tmpl w:val="8ADA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8A725E"/>
    <w:multiLevelType w:val="hybridMultilevel"/>
    <w:tmpl w:val="9EA6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AE3BBB"/>
    <w:multiLevelType w:val="multilevel"/>
    <w:tmpl w:val="6532B62C"/>
    <w:lvl w:ilvl="0">
      <w:start w:val="1"/>
      <w:numFmt w:val="lowerLetter"/>
      <w:lvlText w:val="%1)"/>
      <w:lvlJc w:val="left"/>
      <w:pPr>
        <w:tabs>
          <w:tab w:val="num" w:pos="720"/>
        </w:tabs>
        <w:ind w:left="720" w:hanging="360"/>
      </w:pPr>
      <w:rPr>
        <w:rFont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EA5FD5"/>
    <w:multiLevelType w:val="multilevel"/>
    <w:tmpl w:val="28C0BEC8"/>
    <w:lvl w:ilvl="0">
      <w:start w:val="1"/>
      <w:numFmt w:val="lowerLetter"/>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671083"/>
    <w:multiLevelType w:val="hybridMultilevel"/>
    <w:tmpl w:val="4830A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DA0709"/>
    <w:multiLevelType w:val="hybridMultilevel"/>
    <w:tmpl w:val="32D0B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AC1489"/>
    <w:multiLevelType w:val="hybridMultilevel"/>
    <w:tmpl w:val="20C6A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0C59B6"/>
    <w:multiLevelType w:val="hybridMultilevel"/>
    <w:tmpl w:val="E8048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08000D"/>
    <w:multiLevelType w:val="hybridMultilevel"/>
    <w:tmpl w:val="3ACAE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BD036E"/>
    <w:multiLevelType w:val="multilevel"/>
    <w:tmpl w:val="9374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092BAD"/>
    <w:multiLevelType w:val="hybridMultilevel"/>
    <w:tmpl w:val="09EE5064"/>
    <w:lvl w:ilvl="0" w:tplc="7C14AD82">
      <w:start w:val="1"/>
      <w:numFmt w:val="bullet"/>
      <w:lvlText w:val=""/>
      <w:lvlJc w:val="left"/>
      <w:pPr>
        <w:ind w:left="3600" w:hanging="360"/>
      </w:pPr>
      <w:rPr>
        <w:rFonts w:ascii="Symbol" w:hAnsi="Symbol" w:hint="default"/>
        <w:color w:val="165788"/>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0" w15:restartNumberingAfterBreak="0">
    <w:nsid w:val="6D6B70CB"/>
    <w:multiLevelType w:val="hybridMultilevel"/>
    <w:tmpl w:val="1C5A082C"/>
    <w:lvl w:ilvl="0" w:tplc="C0365B7E">
      <w:start w:val="1"/>
      <w:numFmt w:val="bullet"/>
      <w:lvlText w:val=""/>
      <w:lvlJc w:val="left"/>
      <w:pPr>
        <w:ind w:left="720" w:hanging="360"/>
      </w:pPr>
      <w:rPr>
        <w:rFonts w:ascii="Symbol" w:hAnsi="Symbol" w:hint="default"/>
        <w:color w:val="1657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A94930"/>
    <w:multiLevelType w:val="hybridMultilevel"/>
    <w:tmpl w:val="22A0A02C"/>
    <w:lvl w:ilvl="0" w:tplc="624EA1E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2E0B51"/>
    <w:multiLevelType w:val="hybridMultilevel"/>
    <w:tmpl w:val="8B40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B104FD"/>
    <w:multiLevelType w:val="hybridMultilevel"/>
    <w:tmpl w:val="652EF7C8"/>
    <w:lvl w:ilvl="0" w:tplc="08090001">
      <w:start w:val="1"/>
      <w:numFmt w:val="bullet"/>
      <w:lvlText w:val=""/>
      <w:lvlJc w:val="left"/>
      <w:pPr>
        <w:ind w:left="825" w:hanging="360"/>
      </w:pPr>
      <w:rPr>
        <w:rFonts w:ascii="Symbol" w:hAnsi="Symbol" w:hint="default"/>
      </w:rPr>
    </w:lvl>
    <w:lvl w:ilvl="1" w:tplc="728E3EAC">
      <w:start w:val="1"/>
      <w:numFmt w:val="bullet"/>
      <w:lvlText w:val=""/>
      <w:lvlJc w:val="left"/>
      <w:pPr>
        <w:ind w:left="1545" w:hanging="360"/>
      </w:pPr>
      <w:rPr>
        <w:rFonts w:ascii="Symbol" w:hAnsi="Symbol" w:hint="default"/>
        <w:color w:val="165788"/>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4" w15:restartNumberingAfterBreak="0">
    <w:nsid w:val="721B4BD0"/>
    <w:multiLevelType w:val="hybridMultilevel"/>
    <w:tmpl w:val="516C3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A56C89"/>
    <w:multiLevelType w:val="multilevel"/>
    <w:tmpl w:val="3F42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DC059C"/>
    <w:multiLevelType w:val="hybridMultilevel"/>
    <w:tmpl w:val="CC36B602"/>
    <w:lvl w:ilvl="0" w:tplc="08090017">
      <w:start w:val="1"/>
      <w:numFmt w:val="lowerLetter"/>
      <w:lvlText w:val="%1)"/>
      <w:lvlJc w:val="left"/>
      <w:pPr>
        <w:ind w:left="749" w:hanging="360"/>
      </w:pPr>
      <w:rPr>
        <w:rFonts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37" w15:restartNumberingAfterBreak="0">
    <w:nsid w:val="7BF24518"/>
    <w:multiLevelType w:val="hybridMultilevel"/>
    <w:tmpl w:val="C76043E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4B4E82"/>
    <w:multiLevelType w:val="multilevel"/>
    <w:tmpl w:val="47560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3B46FB"/>
    <w:multiLevelType w:val="hybridMultilevel"/>
    <w:tmpl w:val="B434C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5"/>
  </w:num>
  <w:num w:numId="3">
    <w:abstractNumId w:val="1"/>
  </w:num>
  <w:num w:numId="4">
    <w:abstractNumId w:val="39"/>
  </w:num>
  <w:num w:numId="5">
    <w:abstractNumId w:val="27"/>
  </w:num>
  <w:num w:numId="6">
    <w:abstractNumId w:val="36"/>
  </w:num>
  <w:num w:numId="7">
    <w:abstractNumId w:val="9"/>
  </w:num>
  <w:num w:numId="8">
    <w:abstractNumId w:val="12"/>
  </w:num>
  <w:num w:numId="9">
    <w:abstractNumId w:val="37"/>
  </w:num>
  <w:num w:numId="10">
    <w:abstractNumId w:val="18"/>
  </w:num>
  <w:num w:numId="11">
    <w:abstractNumId w:val="15"/>
  </w:num>
  <w:num w:numId="12">
    <w:abstractNumId w:val="4"/>
  </w:num>
  <w:num w:numId="13">
    <w:abstractNumId w:val="31"/>
  </w:num>
  <w:num w:numId="14">
    <w:abstractNumId w:val="5"/>
  </w:num>
  <w:num w:numId="15">
    <w:abstractNumId w:val="20"/>
  </w:num>
  <w:num w:numId="16">
    <w:abstractNumId w:val="26"/>
  </w:num>
  <w:num w:numId="17">
    <w:abstractNumId w:val="23"/>
  </w:num>
  <w:num w:numId="18">
    <w:abstractNumId w:val="7"/>
  </w:num>
  <w:num w:numId="19">
    <w:abstractNumId w:val="34"/>
  </w:num>
  <w:num w:numId="20">
    <w:abstractNumId w:val="28"/>
  </w:num>
  <w:num w:numId="21">
    <w:abstractNumId w:val="11"/>
  </w:num>
  <w:num w:numId="22">
    <w:abstractNumId w:val="13"/>
  </w:num>
  <w:num w:numId="23">
    <w:abstractNumId w:val="17"/>
  </w:num>
  <w:num w:numId="24">
    <w:abstractNumId w:val="38"/>
  </w:num>
  <w:num w:numId="25">
    <w:abstractNumId w:val="14"/>
  </w:num>
  <w:num w:numId="26">
    <w:abstractNumId w:val="19"/>
  </w:num>
  <w:num w:numId="27">
    <w:abstractNumId w:val="0"/>
  </w:num>
  <w:num w:numId="28">
    <w:abstractNumId w:val="29"/>
  </w:num>
  <w:num w:numId="29">
    <w:abstractNumId w:val="3"/>
  </w:num>
  <w:num w:numId="30">
    <w:abstractNumId w:val="22"/>
  </w:num>
  <w:num w:numId="31">
    <w:abstractNumId w:val="21"/>
  </w:num>
  <w:num w:numId="32">
    <w:abstractNumId w:val="25"/>
  </w:num>
  <w:num w:numId="33">
    <w:abstractNumId w:val="16"/>
  </w:num>
  <w:num w:numId="34">
    <w:abstractNumId w:val="6"/>
  </w:num>
  <w:num w:numId="35">
    <w:abstractNumId w:val="32"/>
  </w:num>
  <w:num w:numId="36">
    <w:abstractNumId w:val="30"/>
  </w:num>
  <w:num w:numId="37">
    <w:abstractNumId w:val="24"/>
  </w:num>
  <w:num w:numId="38">
    <w:abstractNumId w:val="10"/>
  </w:num>
  <w:num w:numId="39">
    <w:abstractNumId w:val="2"/>
  </w:num>
  <w:num w:numId="40">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GB" w:vendorID="64" w:dllVersion="131078" w:nlCheck="1" w:checkStyle="1"/>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260"/>
    <w:rsid w:val="00000A42"/>
    <w:rsid w:val="00007052"/>
    <w:rsid w:val="00011586"/>
    <w:rsid w:val="000129D8"/>
    <w:rsid w:val="00012B78"/>
    <w:rsid w:val="000134E2"/>
    <w:rsid w:val="0001372D"/>
    <w:rsid w:val="00013859"/>
    <w:rsid w:val="00014008"/>
    <w:rsid w:val="00014F89"/>
    <w:rsid w:val="0001512A"/>
    <w:rsid w:val="000158BB"/>
    <w:rsid w:val="000165E9"/>
    <w:rsid w:val="000212DF"/>
    <w:rsid w:val="00022BD6"/>
    <w:rsid w:val="000235CB"/>
    <w:rsid w:val="00023DB7"/>
    <w:rsid w:val="000253EB"/>
    <w:rsid w:val="00026F8B"/>
    <w:rsid w:val="000273F9"/>
    <w:rsid w:val="00027E00"/>
    <w:rsid w:val="000323EE"/>
    <w:rsid w:val="00032E50"/>
    <w:rsid w:val="000411EF"/>
    <w:rsid w:val="00041BF2"/>
    <w:rsid w:val="00042D10"/>
    <w:rsid w:val="000432B7"/>
    <w:rsid w:val="000433C4"/>
    <w:rsid w:val="00043594"/>
    <w:rsid w:val="0004729C"/>
    <w:rsid w:val="0004730F"/>
    <w:rsid w:val="00047C7F"/>
    <w:rsid w:val="00050A94"/>
    <w:rsid w:val="0005191A"/>
    <w:rsid w:val="0005270B"/>
    <w:rsid w:val="00054FC5"/>
    <w:rsid w:val="00056F9C"/>
    <w:rsid w:val="0006131A"/>
    <w:rsid w:val="00062D5F"/>
    <w:rsid w:val="000631A7"/>
    <w:rsid w:val="00063BAE"/>
    <w:rsid w:val="00064E7A"/>
    <w:rsid w:val="000653CF"/>
    <w:rsid w:val="00065EA2"/>
    <w:rsid w:val="00067BB7"/>
    <w:rsid w:val="000727D7"/>
    <w:rsid w:val="00072B61"/>
    <w:rsid w:val="0007434A"/>
    <w:rsid w:val="000753DA"/>
    <w:rsid w:val="00076470"/>
    <w:rsid w:val="00076498"/>
    <w:rsid w:val="0008163B"/>
    <w:rsid w:val="00081CE9"/>
    <w:rsid w:val="00083762"/>
    <w:rsid w:val="00083AD3"/>
    <w:rsid w:val="00083EDD"/>
    <w:rsid w:val="000841D4"/>
    <w:rsid w:val="000868B5"/>
    <w:rsid w:val="00087671"/>
    <w:rsid w:val="00090686"/>
    <w:rsid w:val="00094133"/>
    <w:rsid w:val="00094E25"/>
    <w:rsid w:val="000959BB"/>
    <w:rsid w:val="000A1EC8"/>
    <w:rsid w:val="000A22A0"/>
    <w:rsid w:val="000A312E"/>
    <w:rsid w:val="000A51E7"/>
    <w:rsid w:val="000A5CCB"/>
    <w:rsid w:val="000B06A8"/>
    <w:rsid w:val="000B2A7D"/>
    <w:rsid w:val="000B42F0"/>
    <w:rsid w:val="000C025C"/>
    <w:rsid w:val="000C0770"/>
    <w:rsid w:val="000C1431"/>
    <w:rsid w:val="000C14BB"/>
    <w:rsid w:val="000C2336"/>
    <w:rsid w:val="000C2D93"/>
    <w:rsid w:val="000C3B46"/>
    <w:rsid w:val="000C610E"/>
    <w:rsid w:val="000C6F77"/>
    <w:rsid w:val="000D0ACD"/>
    <w:rsid w:val="000D0E57"/>
    <w:rsid w:val="000D3B0C"/>
    <w:rsid w:val="000D429C"/>
    <w:rsid w:val="000D497F"/>
    <w:rsid w:val="000E1144"/>
    <w:rsid w:val="000E263D"/>
    <w:rsid w:val="000E3FA2"/>
    <w:rsid w:val="000E49BC"/>
    <w:rsid w:val="000E69AE"/>
    <w:rsid w:val="000E6C7B"/>
    <w:rsid w:val="000F28C5"/>
    <w:rsid w:val="000F295E"/>
    <w:rsid w:val="000F2A45"/>
    <w:rsid w:val="000F3616"/>
    <w:rsid w:val="000F5F3F"/>
    <w:rsid w:val="000F6206"/>
    <w:rsid w:val="000F6E73"/>
    <w:rsid w:val="00103DEE"/>
    <w:rsid w:val="00104737"/>
    <w:rsid w:val="0010483A"/>
    <w:rsid w:val="00111374"/>
    <w:rsid w:val="0011467E"/>
    <w:rsid w:val="00114ABF"/>
    <w:rsid w:val="0011620D"/>
    <w:rsid w:val="00117989"/>
    <w:rsid w:val="00117EA0"/>
    <w:rsid w:val="001217D4"/>
    <w:rsid w:val="0012516C"/>
    <w:rsid w:val="00125D5C"/>
    <w:rsid w:val="001269AF"/>
    <w:rsid w:val="0012787F"/>
    <w:rsid w:val="00130994"/>
    <w:rsid w:val="001322CE"/>
    <w:rsid w:val="001330FC"/>
    <w:rsid w:val="00133D9B"/>
    <w:rsid w:val="00135436"/>
    <w:rsid w:val="00136369"/>
    <w:rsid w:val="00137197"/>
    <w:rsid w:val="00137B79"/>
    <w:rsid w:val="0014166D"/>
    <w:rsid w:val="00142279"/>
    <w:rsid w:val="00142C14"/>
    <w:rsid w:val="00142CC6"/>
    <w:rsid w:val="0014319E"/>
    <w:rsid w:val="00145994"/>
    <w:rsid w:val="00145D13"/>
    <w:rsid w:val="00151C12"/>
    <w:rsid w:val="0015392B"/>
    <w:rsid w:val="00153D5C"/>
    <w:rsid w:val="00156E29"/>
    <w:rsid w:val="0016033C"/>
    <w:rsid w:val="0016141C"/>
    <w:rsid w:val="00161B33"/>
    <w:rsid w:val="00161DCB"/>
    <w:rsid w:val="001627E9"/>
    <w:rsid w:val="00162A68"/>
    <w:rsid w:val="00163083"/>
    <w:rsid w:val="00163D31"/>
    <w:rsid w:val="001647D9"/>
    <w:rsid w:val="00166189"/>
    <w:rsid w:val="001679D8"/>
    <w:rsid w:val="00170E09"/>
    <w:rsid w:val="001730A8"/>
    <w:rsid w:val="001730DA"/>
    <w:rsid w:val="00173AAE"/>
    <w:rsid w:val="00173DCE"/>
    <w:rsid w:val="00175F0C"/>
    <w:rsid w:val="0018106E"/>
    <w:rsid w:val="00182B6D"/>
    <w:rsid w:val="00185BD5"/>
    <w:rsid w:val="00191477"/>
    <w:rsid w:val="0019777C"/>
    <w:rsid w:val="00197E34"/>
    <w:rsid w:val="001A156B"/>
    <w:rsid w:val="001A1CC2"/>
    <w:rsid w:val="001A4CBF"/>
    <w:rsid w:val="001A751D"/>
    <w:rsid w:val="001A7AF0"/>
    <w:rsid w:val="001A7F69"/>
    <w:rsid w:val="001B0736"/>
    <w:rsid w:val="001B21B4"/>
    <w:rsid w:val="001B45B2"/>
    <w:rsid w:val="001B5240"/>
    <w:rsid w:val="001B5277"/>
    <w:rsid w:val="001B69C2"/>
    <w:rsid w:val="001C0FE6"/>
    <w:rsid w:val="001C1961"/>
    <w:rsid w:val="001C1B47"/>
    <w:rsid w:val="001C3274"/>
    <w:rsid w:val="001C33A8"/>
    <w:rsid w:val="001C42E7"/>
    <w:rsid w:val="001C5CAA"/>
    <w:rsid w:val="001C7405"/>
    <w:rsid w:val="001C744D"/>
    <w:rsid w:val="001D049C"/>
    <w:rsid w:val="001D04E3"/>
    <w:rsid w:val="001D0DAC"/>
    <w:rsid w:val="001D11A9"/>
    <w:rsid w:val="001D333C"/>
    <w:rsid w:val="001D4633"/>
    <w:rsid w:val="001D5F9F"/>
    <w:rsid w:val="001D6BF5"/>
    <w:rsid w:val="001D6C7D"/>
    <w:rsid w:val="001D7863"/>
    <w:rsid w:val="001D7BA6"/>
    <w:rsid w:val="001E0E35"/>
    <w:rsid w:val="001E2D18"/>
    <w:rsid w:val="001E4475"/>
    <w:rsid w:val="001E45F3"/>
    <w:rsid w:val="001E4A86"/>
    <w:rsid w:val="001E62BF"/>
    <w:rsid w:val="001F0168"/>
    <w:rsid w:val="001F0C57"/>
    <w:rsid w:val="001F1FC9"/>
    <w:rsid w:val="001F2379"/>
    <w:rsid w:val="001F2F99"/>
    <w:rsid w:val="001F3EFD"/>
    <w:rsid w:val="00200D62"/>
    <w:rsid w:val="00201F84"/>
    <w:rsid w:val="00202DF4"/>
    <w:rsid w:val="00203685"/>
    <w:rsid w:val="00206BA2"/>
    <w:rsid w:val="00207B38"/>
    <w:rsid w:val="00211465"/>
    <w:rsid w:val="00211961"/>
    <w:rsid w:val="00211DED"/>
    <w:rsid w:val="002139BF"/>
    <w:rsid w:val="002166F5"/>
    <w:rsid w:val="00217420"/>
    <w:rsid w:val="00217570"/>
    <w:rsid w:val="00220457"/>
    <w:rsid w:val="00220B67"/>
    <w:rsid w:val="00220B68"/>
    <w:rsid w:val="00222976"/>
    <w:rsid w:val="00222BA7"/>
    <w:rsid w:val="00223897"/>
    <w:rsid w:val="00223933"/>
    <w:rsid w:val="00223E21"/>
    <w:rsid w:val="0022418C"/>
    <w:rsid w:val="002250DB"/>
    <w:rsid w:val="00227D9F"/>
    <w:rsid w:val="00232412"/>
    <w:rsid w:val="002362E0"/>
    <w:rsid w:val="002373BC"/>
    <w:rsid w:val="00237D19"/>
    <w:rsid w:val="00240737"/>
    <w:rsid w:val="00242605"/>
    <w:rsid w:val="00243956"/>
    <w:rsid w:val="00244E5C"/>
    <w:rsid w:val="00245545"/>
    <w:rsid w:val="00245796"/>
    <w:rsid w:val="00251CAC"/>
    <w:rsid w:val="00254151"/>
    <w:rsid w:val="0025458D"/>
    <w:rsid w:val="00254A0F"/>
    <w:rsid w:val="00257419"/>
    <w:rsid w:val="002576C8"/>
    <w:rsid w:val="002735B0"/>
    <w:rsid w:val="00273DA1"/>
    <w:rsid w:val="00277B8A"/>
    <w:rsid w:val="0028028E"/>
    <w:rsid w:val="00280856"/>
    <w:rsid w:val="002816A1"/>
    <w:rsid w:val="002817E8"/>
    <w:rsid w:val="00281813"/>
    <w:rsid w:val="0028284B"/>
    <w:rsid w:val="00282EE1"/>
    <w:rsid w:val="00283117"/>
    <w:rsid w:val="00283127"/>
    <w:rsid w:val="00284425"/>
    <w:rsid w:val="00284E6C"/>
    <w:rsid w:val="00290DE6"/>
    <w:rsid w:val="002916BB"/>
    <w:rsid w:val="00292277"/>
    <w:rsid w:val="002977ED"/>
    <w:rsid w:val="002978D6"/>
    <w:rsid w:val="002A0478"/>
    <w:rsid w:val="002A0F22"/>
    <w:rsid w:val="002A1156"/>
    <w:rsid w:val="002A15FB"/>
    <w:rsid w:val="002A178A"/>
    <w:rsid w:val="002A429E"/>
    <w:rsid w:val="002A55C2"/>
    <w:rsid w:val="002A5A0E"/>
    <w:rsid w:val="002A5AD7"/>
    <w:rsid w:val="002B061A"/>
    <w:rsid w:val="002B1860"/>
    <w:rsid w:val="002B2132"/>
    <w:rsid w:val="002B3B79"/>
    <w:rsid w:val="002B46C1"/>
    <w:rsid w:val="002B4E84"/>
    <w:rsid w:val="002B6D08"/>
    <w:rsid w:val="002B7A45"/>
    <w:rsid w:val="002B7EB8"/>
    <w:rsid w:val="002C0C8D"/>
    <w:rsid w:val="002C1083"/>
    <w:rsid w:val="002C1B87"/>
    <w:rsid w:val="002C1E26"/>
    <w:rsid w:val="002C1F97"/>
    <w:rsid w:val="002C1FB1"/>
    <w:rsid w:val="002C2CAD"/>
    <w:rsid w:val="002C35FF"/>
    <w:rsid w:val="002C54C8"/>
    <w:rsid w:val="002C6747"/>
    <w:rsid w:val="002C7EEF"/>
    <w:rsid w:val="002D4976"/>
    <w:rsid w:val="002D590D"/>
    <w:rsid w:val="002D5ABC"/>
    <w:rsid w:val="002D686A"/>
    <w:rsid w:val="002D7189"/>
    <w:rsid w:val="002E00D3"/>
    <w:rsid w:val="002E334C"/>
    <w:rsid w:val="002E54E7"/>
    <w:rsid w:val="002E63E4"/>
    <w:rsid w:val="002E65F6"/>
    <w:rsid w:val="002E7567"/>
    <w:rsid w:val="002F490E"/>
    <w:rsid w:val="002F49F6"/>
    <w:rsid w:val="002F5470"/>
    <w:rsid w:val="002F6395"/>
    <w:rsid w:val="002F711F"/>
    <w:rsid w:val="002F7C44"/>
    <w:rsid w:val="002F7F29"/>
    <w:rsid w:val="003001A9"/>
    <w:rsid w:val="00300350"/>
    <w:rsid w:val="003060C5"/>
    <w:rsid w:val="003071B3"/>
    <w:rsid w:val="00310000"/>
    <w:rsid w:val="003128CE"/>
    <w:rsid w:val="00313D43"/>
    <w:rsid w:val="003141E2"/>
    <w:rsid w:val="00315411"/>
    <w:rsid w:val="00316625"/>
    <w:rsid w:val="0031776E"/>
    <w:rsid w:val="00317C52"/>
    <w:rsid w:val="00320891"/>
    <w:rsid w:val="00322525"/>
    <w:rsid w:val="003225A2"/>
    <w:rsid w:val="00323417"/>
    <w:rsid w:val="0033181F"/>
    <w:rsid w:val="00333608"/>
    <w:rsid w:val="003344A6"/>
    <w:rsid w:val="0033523A"/>
    <w:rsid w:val="00335572"/>
    <w:rsid w:val="00335699"/>
    <w:rsid w:val="00337D8D"/>
    <w:rsid w:val="00340E96"/>
    <w:rsid w:val="0034160D"/>
    <w:rsid w:val="00341B9F"/>
    <w:rsid w:val="003433AF"/>
    <w:rsid w:val="00344014"/>
    <w:rsid w:val="00345FD1"/>
    <w:rsid w:val="00355203"/>
    <w:rsid w:val="003553DD"/>
    <w:rsid w:val="003557C7"/>
    <w:rsid w:val="00356E08"/>
    <w:rsid w:val="0035754F"/>
    <w:rsid w:val="003615FB"/>
    <w:rsid w:val="003617BF"/>
    <w:rsid w:val="00361C76"/>
    <w:rsid w:val="00362345"/>
    <w:rsid w:val="00362347"/>
    <w:rsid w:val="00362CAE"/>
    <w:rsid w:val="00365409"/>
    <w:rsid w:val="003654C0"/>
    <w:rsid w:val="00366DD1"/>
    <w:rsid w:val="0037163C"/>
    <w:rsid w:val="00372176"/>
    <w:rsid w:val="003728BA"/>
    <w:rsid w:val="003737ED"/>
    <w:rsid w:val="00374C1E"/>
    <w:rsid w:val="003759B6"/>
    <w:rsid w:val="003817F3"/>
    <w:rsid w:val="00382477"/>
    <w:rsid w:val="003835DE"/>
    <w:rsid w:val="0038407A"/>
    <w:rsid w:val="00384501"/>
    <w:rsid w:val="00387A98"/>
    <w:rsid w:val="00390A79"/>
    <w:rsid w:val="00392130"/>
    <w:rsid w:val="0039556C"/>
    <w:rsid w:val="003960CF"/>
    <w:rsid w:val="00397590"/>
    <w:rsid w:val="003A072B"/>
    <w:rsid w:val="003A0DD5"/>
    <w:rsid w:val="003A1C7E"/>
    <w:rsid w:val="003A3863"/>
    <w:rsid w:val="003A6347"/>
    <w:rsid w:val="003B0583"/>
    <w:rsid w:val="003B0D48"/>
    <w:rsid w:val="003B1474"/>
    <w:rsid w:val="003B2645"/>
    <w:rsid w:val="003B341B"/>
    <w:rsid w:val="003B4B50"/>
    <w:rsid w:val="003C4BA5"/>
    <w:rsid w:val="003C4E7C"/>
    <w:rsid w:val="003C5D3A"/>
    <w:rsid w:val="003C62E3"/>
    <w:rsid w:val="003C6B35"/>
    <w:rsid w:val="003C6F2F"/>
    <w:rsid w:val="003C7730"/>
    <w:rsid w:val="003D1D6A"/>
    <w:rsid w:val="003D43F3"/>
    <w:rsid w:val="003D49E8"/>
    <w:rsid w:val="003E13B2"/>
    <w:rsid w:val="003E362C"/>
    <w:rsid w:val="003E3E86"/>
    <w:rsid w:val="003E40A9"/>
    <w:rsid w:val="003E5E59"/>
    <w:rsid w:val="003E6997"/>
    <w:rsid w:val="003E6A21"/>
    <w:rsid w:val="003E7540"/>
    <w:rsid w:val="003F1BDB"/>
    <w:rsid w:val="003F1E86"/>
    <w:rsid w:val="003F26B3"/>
    <w:rsid w:val="003F2E13"/>
    <w:rsid w:val="003F53EF"/>
    <w:rsid w:val="00401BE6"/>
    <w:rsid w:val="00402088"/>
    <w:rsid w:val="004042BF"/>
    <w:rsid w:val="004073FC"/>
    <w:rsid w:val="00410756"/>
    <w:rsid w:val="004123CF"/>
    <w:rsid w:val="004127A8"/>
    <w:rsid w:val="00414434"/>
    <w:rsid w:val="004146EA"/>
    <w:rsid w:val="004155DD"/>
    <w:rsid w:val="004162B8"/>
    <w:rsid w:val="004166E8"/>
    <w:rsid w:val="0041742A"/>
    <w:rsid w:val="00421CDC"/>
    <w:rsid w:val="00421FD2"/>
    <w:rsid w:val="0042409A"/>
    <w:rsid w:val="004256A4"/>
    <w:rsid w:val="00425E0D"/>
    <w:rsid w:val="00426AD7"/>
    <w:rsid w:val="00426B5F"/>
    <w:rsid w:val="00426D7A"/>
    <w:rsid w:val="00430C06"/>
    <w:rsid w:val="004324D9"/>
    <w:rsid w:val="0043527D"/>
    <w:rsid w:val="00435529"/>
    <w:rsid w:val="004368D9"/>
    <w:rsid w:val="00436F8A"/>
    <w:rsid w:val="00441C5B"/>
    <w:rsid w:val="00443301"/>
    <w:rsid w:val="0044465B"/>
    <w:rsid w:val="004466BE"/>
    <w:rsid w:val="004515B8"/>
    <w:rsid w:val="00452700"/>
    <w:rsid w:val="00452CED"/>
    <w:rsid w:val="004535C9"/>
    <w:rsid w:val="0045467B"/>
    <w:rsid w:val="00454B46"/>
    <w:rsid w:val="00454BA7"/>
    <w:rsid w:val="004554D1"/>
    <w:rsid w:val="00455E1E"/>
    <w:rsid w:val="00457249"/>
    <w:rsid w:val="004579D4"/>
    <w:rsid w:val="00457A8F"/>
    <w:rsid w:val="0046030B"/>
    <w:rsid w:val="00460838"/>
    <w:rsid w:val="004617C8"/>
    <w:rsid w:val="00462660"/>
    <w:rsid w:val="00463134"/>
    <w:rsid w:val="00465553"/>
    <w:rsid w:val="00466642"/>
    <w:rsid w:val="0046723E"/>
    <w:rsid w:val="00467882"/>
    <w:rsid w:val="004718FF"/>
    <w:rsid w:val="00473223"/>
    <w:rsid w:val="004760DC"/>
    <w:rsid w:val="00485181"/>
    <w:rsid w:val="00485C78"/>
    <w:rsid w:val="004860DD"/>
    <w:rsid w:val="00487101"/>
    <w:rsid w:val="00487FC7"/>
    <w:rsid w:val="0049177B"/>
    <w:rsid w:val="0049319D"/>
    <w:rsid w:val="00494B6A"/>
    <w:rsid w:val="00494D12"/>
    <w:rsid w:val="004A3FD5"/>
    <w:rsid w:val="004A4AEF"/>
    <w:rsid w:val="004A7DDF"/>
    <w:rsid w:val="004B0453"/>
    <w:rsid w:val="004B1973"/>
    <w:rsid w:val="004B4A84"/>
    <w:rsid w:val="004B5A4E"/>
    <w:rsid w:val="004B75DF"/>
    <w:rsid w:val="004B772A"/>
    <w:rsid w:val="004C0645"/>
    <w:rsid w:val="004C1F64"/>
    <w:rsid w:val="004C2085"/>
    <w:rsid w:val="004C21D2"/>
    <w:rsid w:val="004C30C5"/>
    <w:rsid w:val="004C3E51"/>
    <w:rsid w:val="004C45C4"/>
    <w:rsid w:val="004C5F03"/>
    <w:rsid w:val="004C5F6E"/>
    <w:rsid w:val="004C6EA5"/>
    <w:rsid w:val="004C76C5"/>
    <w:rsid w:val="004D029B"/>
    <w:rsid w:val="004D103D"/>
    <w:rsid w:val="004D38B9"/>
    <w:rsid w:val="004D4363"/>
    <w:rsid w:val="004D45AB"/>
    <w:rsid w:val="004D6B6F"/>
    <w:rsid w:val="004D6F3F"/>
    <w:rsid w:val="004D77EA"/>
    <w:rsid w:val="004D7E15"/>
    <w:rsid w:val="004E1BC5"/>
    <w:rsid w:val="004E74B5"/>
    <w:rsid w:val="004E7706"/>
    <w:rsid w:val="004E7B20"/>
    <w:rsid w:val="004F30C2"/>
    <w:rsid w:val="004F46F4"/>
    <w:rsid w:val="004F7CF8"/>
    <w:rsid w:val="00502BEC"/>
    <w:rsid w:val="00502DCB"/>
    <w:rsid w:val="00503733"/>
    <w:rsid w:val="00503E28"/>
    <w:rsid w:val="005040AE"/>
    <w:rsid w:val="00504419"/>
    <w:rsid w:val="00506D61"/>
    <w:rsid w:val="005071EA"/>
    <w:rsid w:val="00507E3E"/>
    <w:rsid w:val="00511AE4"/>
    <w:rsid w:val="00512456"/>
    <w:rsid w:val="00512AC3"/>
    <w:rsid w:val="00513569"/>
    <w:rsid w:val="00513708"/>
    <w:rsid w:val="005139BE"/>
    <w:rsid w:val="00515C7A"/>
    <w:rsid w:val="005173FC"/>
    <w:rsid w:val="00527124"/>
    <w:rsid w:val="00530142"/>
    <w:rsid w:val="00530CBB"/>
    <w:rsid w:val="00533291"/>
    <w:rsid w:val="00540A95"/>
    <w:rsid w:val="005421BC"/>
    <w:rsid w:val="0054221D"/>
    <w:rsid w:val="00543D97"/>
    <w:rsid w:val="0054410A"/>
    <w:rsid w:val="00545E9A"/>
    <w:rsid w:val="005463D6"/>
    <w:rsid w:val="0054666E"/>
    <w:rsid w:val="00546952"/>
    <w:rsid w:val="005479F2"/>
    <w:rsid w:val="0055082E"/>
    <w:rsid w:val="00550CB7"/>
    <w:rsid w:val="005531D8"/>
    <w:rsid w:val="005532A7"/>
    <w:rsid w:val="00557076"/>
    <w:rsid w:val="005574D9"/>
    <w:rsid w:val="0056076E"/>
    <w:rsid w:val="0056102A"/>
    <w:rsid w:val="00561141"/>
    <w:rsid w:val="005620F0"/>
    <w:rsid w:val="005627A2"/>
    <w:rsid w:val="00563608"/>
    <w:rsid w:val="00564EE0"/>
    <w:rsid w:val="00567BA1"/>
    <w:rsid w:val="0057003F"/>
    <w:rsid w:val="005717EF"/>
    <w:rsid w:val="00571E7E"/>
    <w:rsid w:val="00571F09"/>
    <w:rsid w:val="00572902"/>
    <w:rsid w:val="00577CFD"/>
    <w:rsid w:val="00580733"/>
    <w:rsid w:val="00581090"/>
    <w:rsid w:val="00581CB4"/>
    <w:rsid w:val="00582876"/>
    <w:rsid w:val="005828A7"/>
    <w:rsid w:val="005829A4"/>
    <w:rsid w:val="00586DBC"/>
    <w:rsid w:val="0059217B"/>
    <w:rsid w:val="0059288E"/>
    <w:rsid w:val="00593F7E"/>
    <w:rsid w:val="0059573A"/>
    <w:rsid w:val="005959F3"/>
    <w:rsid w:val="0059770B"/>
    <w:rsid w:val="00597D71"/>
    <w:rsid w:val="005A015E"/>
    <w:rsid w:val="005A02B3"/>
    <w:rsid w:val="005A0376"/>
    <w:rsid w:val="005A13C4"/>
    <w:rsid w:val="005A17AB"/>
    <w:rsid w:val="005A4354"/>
    <w:rsid w:val="005A65E8"/>
    <w:rsid w:val="005A6AA3"/>
    <w:rsid w:val="005A6E02"/>
    <w:rsid w:val="005B184D"/>
    <w:rsid w:val="005B28B2"/>
    <w:rsid w:val="005B2AD9"/>
    <w:rsid w:val="005B2E90"/>
    <w:rsid w:val="005C278F"/>
    <w:rsid w:val="005C2DE9"/>
    <w:rsid w:val="005C31EE"/>
    <w:rsid w:val="005C4157"/>
    <w:rsid w:val="005C4B0A"/>
    <w:rsid w:val="005C5389"/>
    <w:rsid w:val="005D003C"/>
    <w:rsid w:val="005D126C"/>
    <w:rsid w:val="005D1C20"/>
    <w:rsid w:val="005D2078"/>
    <w:rsid w:val="005D3933"/>
    <w:rsid w:val="005D426B"/>
    <w:rsid w:val="005D60BA"/>
    <w:rsid w:val="005E09A9"/>
    <w:rsid w:val="005E0E2F"/>
    <w:rsid w:val="005E4E09"/>
    <w:rsid w:val="005E5481"/>
    <w:rsid w:val="005E5849"/>
    <w:rsid w:val="005E7800"/>
    <w:rsid w:val="005E7DF5"/>
    <w:rsid w:val="005F0002"/>
    <w:rsid w:val="005F2D75"/>
    <w:rsid w:val="005F2DE0"/>
    <w:rsid w:val="005F38C1"/>
    <w:rsid w:val="005F5385"/>
    <w:rsid w:val="005F7404"/>
    <w:rsid w:val="006015FD"/>
    <w:rsid w:val="006026F0"/>
    <w:rsid w:val="0060282C"/>
    <w:rsid w:val="00604A47"/>
    <w:rsid w:val="006059A0"/>
    <w:rsid w:val="00606613"/>
    <w:rsid w:val="006069AF"/>
    <w:rsid w:val="00607C97"/>
    <w:rsid w:val="00610139"/>
    <w:rsid w:val="00611885"/>
    <w:rsid w:val="00613649"/>
    <w:rsid w:val="006142FC"/>
    <w:rsid w:val="006159D6"/>
    <w:rsid w:val="0062004C"/>
    <w:rsid w:val="00622D9A"/>
    <w:rsid w:val="0062589F"/>
    <w:rsid w:val="00625E4C"/>
    <w:rsid w:val="00626A67"/>
    <w:rsid w:val="00627DA0"/>
    <w:rsid w:val="006314B0"/>
    <w:rsid w:val="0063251E"/>
    <w:rsid w:val="006338BE"/>
    <w:rsid w:val="006341F1"/>
    <w:rsid w:val="006343A4"/>
    <w:rsid w:val="0063489D"/>
    <w:rsid w:val="006357BB"/>
    <w:rsid w:val="006358F4"/>
    <w:rsid w:val="0063745D"/>
    <w:rsid w:val="00637799"/>
    <w:rsid w:val="00637D59"/>
    <w:rsid w:val="00645214"/>
    <w:rsid w:val="00645B88"/>
    <w:rsid w:val="006463A4"/>
    <w:rsid w:val="00646653"/>
    <w:rsid w:val="0064696F"/>
    <w:rsid w:val="00650E35"/>
    <w:rsid w:val="00651DB5"/>
    <w:rsid w:val="0065239A"/>
    <w:rsid w:val="0065248C"/>
    <w:rsid w:val="0065358E"/>
    <w:rsid w:val="00654CA3"/>
    <w:rsid w:val="00656988"/>
    <w:rsid w:val="0066149B"/>
    <w:rsid w:val="00661638"/>
    <w:rsid w:val="006616E1"/>
    <w:rsid w:val="00662281"/>
    <w:rsid w:val="00663002"/>
    <w:rsid w:val="00664B23"/>
    <w:rsid w:val="00665625"/>
    <w:rsid w:val="00666417"/>
    <w:rsid w:val="00672D4B"/>
    <w:rsid w:val="00672E86"/>
    <w:rsid w:val="00673890"/>
    <w:rsid w:val="00673DEB"/>
    <w:rsid w:val="0067538A"/>
    <w:rsid w:val="00675455"/>
    <w:rsid w:val="00676275"/>
    <w:rsid w:val="006772AF"/>
    <w:rsid w:val="00680C9E"/>
    <w:rsid w:val="006834E8"/>
    <w:rsid w:val="006838A5"/>
    <w:rsid w:val="00684966"/>
    <w:rsid w:val="00684DC8"/>
    <w:rsid w:val="00686780"/>
    <w:rsid w:val="006867F9"/>
    <w:rsid w:val="00691C51"/>
    <w:rsid w:val="00693234"/>
    <w:rsid w:val="006950F6"/>
    <w:rsid w:val="006973FE"/>
    <w:rsid w:val="006A09CD"/>
    <w:rsid w:val="006A13FB"/>
    <w:rsid w:val="006A2646"/>
    <w:rsid w:val="006A2F7B"/>
    <w:rsid w:val="006A3F38"/>
    <w:rsid w:val="006A453B"/>
    <w:rsid w:val="006A47A7"/>
    <w:rsid w:val="006A65E8"/>
    <w:rsid w:val="006B1059"/>
    <w:rsid w:val="006B1398"/>
    <w:rsid w:val="006B1E9D"/>
    <w:rsid w:val="006B1FA6"/>
    <w:rsid w:val="006B3A43"/>
    <w:rsid w:val="006B5287"/>
    <w:rsid w:val="006B6609"/>
    <w:rsid w:val="006B7D15"/>
    <w:rsid w:val="006C179D"/>
    <w:rsid w:val="006C1EB3"/>
    <w:rsid w:val="006C22C7"/>
    <w:rsid w:val="006C2500"/>
    <w:rsid w:val="006C516B"/>
    <w:rsid w:val="006C5527"/>
    <w:rsid w:val="006C727F"/>
    <w:rsid w:val="006C7A6B"/>
    <w:rsid w:val="006D00D5"/>
    <w:rsid w:val="006D2A02"/>
    <w:rsid w:val="006D2ADC"/>
    <w:rsid w:val="006D3383"/>
    <w:rsid w:val="006D3E80"/>
    <w:rsid w:val="006D636A"/>
    <w:rsid w:val="006D6DC6"/>
    <w:rsid w:val="006D6FBF"/>
    <w:rsid w:val="006D7FCA"/>
    <w:rsid w:val="006E0436"/>
    <w:rsid w:val="006E107D"/>
    <w:rsid w:val="006E211F"/>
    <w:rsid w:val="006E381C"/>
    <w:rsid w:val="006E3B08"/>
    <w:rsid w:val="006E4340"/>
    <w:rsid w:val="006E5BA0"/>
    <w:rsid w:val="006F2F50"/>
    <w:rsid w:val="006F4636"/>
    <w:rsid w:val="006F5002"/>
    <w:rsid w:val="006F50B3"/>
    <w:rsid w:val="006F5C3E"/>
    <w:rsid w:val="006F6043"/>
    <w:rsid w:val="006F6229"/>
    <w:rsid w:val="006F66AE"/>
    <w:rsid w:val="006F7DFD"/>
    <w:rsid w:val="00700769"/>
    <w:rsid w:val="00704CF0"/>
    <w:rsid w:val="00705CBF"/>
    <w:rsid w:val="00707854"/>
    <w:rsid w:val="0071007F"/>
    <w:rsid w:val="00710AE8"/>
    <w:rsid w:val="007115B6"/>
    <w:rsid w:val="00711758"/>
    <w:rsid w:val="007124B0"/>
    <w:rsid w:val="007147B0"/>
    <w:rsid w:val="007149B8"/>
    <w:rsid w:val="00720571"/>
    <w:rsid w:val="00723290"/>
    <w:rsid w:val="00724397"/>
    <w:rsid w:val="007270A7"/>
    <w:rsid w:val="00727FD7"/>
    <w:rsid w:val="00730F03"/>
    <w:rsid w:val="00732224"/>
    <w:rsid w:val="00732713"/>
    <w:rsid w:val="007408DD"/>
    <w:rsid w:val="00740C96"/>
    <w:rsid w:val="00741268"/>
    <w:rsid w:val="0074129F"/>
    <w:rsid w:val="0074169A"/>
    <w:rsid w:val="007430CC"/>
    <w:rsid w:val="00743332"/>
    <w:rsid w:val="0074337B"/>
    <w:rsid w:val="007439AB"/>
    <w:rsid w:val="0074519F"/>
    <w:rsid w:val="00745656"/>
    <w:rsid w:val="00754865"/>
    <w:rsid w:val="00755A99"/>
    <w:rsid w:val="00757C52"/>
    <w:rsid w:val="007623D9"/>
    <w:rsid w:val="007643CA"/>
    <w:rsid w:val="00764C1A"/>
    <w:rsid w:val="007661AC"/>
    <w:rsid w:val="00767A05"/>
    <w:rsid w:val="007706C3"/>
    <w:rsid w:val="00770850"/>
    <w:rsid w:val="00770CF0"/>
    <w:rsid w:val="00771C5F"/>
    <w:rsid w:val="00772A0C"/>
    <w:rsid w:val="00772BB0"/>
    <w:rsid w:val="007731CA"/>
    <w:rsid w:val="007736C4"/>
    <w:rsid w:val="007764A6"/>
    <w:rsid w:val="007778A0"/>
    <w:rsid w:val="00784F2B"/>
    <w:rsid w:val="0078641E"/>
    <w:rsid w:val="007864CF"/>
    <w:rsid w:val="00786FD3"/>
    <w:rsid w:val="00787AEB"/>
    <w:rsid w:val="00787AFC"/>
    <w:rsid w:val="007905C8"/>
    <w:rsid w:val="00792443"/>
    <w:rsid w:val="00793A05"/>
    <w:rsid w:val="00795A0A"/>
    <w:rsid w:val="007A04F6"/>
    <w:rsid w:val="007A0BDD"/>
    <w:rsid w:val="007A32A6"/>
    <w:rsid w:val="007A3390"/>
    <w:rsid w:val="007A5443"/>
    <w:rsid w:val="007A7640"/>
    <w:rsid w:val="007A7F16"/>
    <w:rsid w:val="007B059E"/>
    <w:rsid w:val="007B0D0C"/>
    <w:rsid w:val="007B134E"/>
    <w:rsid w:val="007B1A8B"/>
    <w:rsid w:val="007B1F91"/>
    <w:rsid w:val="007B26DA"/>
    <w:rsid w:val="007B2D2F"/>
    <w:rsid w:val="007B474F"/>
    <w:rsid w:val="007B5CEB"/>
    <w:rsid w:val="007C0F6F"/>
    <w:rsid w:val="007C205B"/>
    <w:rsid w:val="007C29A0"/>
    <w:rsid w:val="007C4929"/>
    <w:rsid w:val="007C4B1F"/>
    <w:rsid w:val="007C64B9"/>
    <w:rsid w:val="007C6962"/>
    <w:rsid w:val="007C7527"/>
    <w:rsid w:val="007C75EE"/>
    <w:rsid w:val="007C7DAD"/>
    <w:rsid w:val="007D12B7"/>
    <w:rsid w:val="007D14D9"/>
    <w:rsid w:val="007D187B"/>
    <w:rsid w:val="007D326E"/>
    <w:rsid w:val="007D3F0C"/>
    <w:rsid w:val="007D6CC3"/>
    <w:rsid w:val="007D768D"/>
    <w:rsid w:val="007E205D"/>
    <w:rsid w:val="007E34B9"/>
    <w:rsid w:val="007E35AC"/>
    <w:rsid w:val="007E428D"/>
    <w:rsid w:val="007E5883"/>
    <w:rsid w:val="007E7892"/>
    <w:rsid w:val="007F1507"/>
    <w:rsid w:val="007F1CA6"/>
    <w:rsid w:val="007F4129"/>
    <w:rsid w:val="007F4462"/>
    <w:rsid w:val="007F46F0"/>
    <w:rsid w:val="007F67FD"/>
    <w:rsid w:val="007F72FF"/>
    <w:rsid w:val="008006C2"/>
    <w:rsid w:val="00803BBF"/>
    <w:rsid w:val="00804003"/>
    <w:rsid w:val="0080469B"/>
    <w:rsid w:val="00806DE3"/>
    <w:rsid w:val="00810979"/>
    <w:rsid w:val="0081098A"/>
    <w:rsid w:val="008142A2"/>
    <w:rsid w:val="00814886"/>
    <w:rsid w:val="008149CB"/>
    <w:rsid w:val="008169AE"/>
    <w:rsid w:val="00822516"/>
    <w:rsid w:val="00825477"/>
    <w:rsid w:val="00830172"/>
    <w:rsid w:val="00830364"/>
    <w:rsid w:val="008320BA"/>
    <w:rsid w:val="00833CFD"/>
    <w:rsid w:val="00833E79"/>
    <w:rsid w:val="00835435"/>
    <w:rsid w:val="00836738"/>
    <w:rsid w:val="008405AC"/>
    <w:rsid w:val="008419CE"/>
    <w:rsid w:val="008419E2"/>
    <w:rsid w:val="00842AB6"/>
    <w:rsid w:val="00844AE0"/>
    <w:rsid w:val="0085022B"/>
    <w:rsid w:val="0085137F"/>
    <w:rsid w:val="008518A4"/>
    <w:rsid w:val="0085389B"/>
    <w:rsid w:val="00856561"/>
    <w:rsid w:val="0086099A"/>
    <w:rsid w:val="008653D4"/>
    <w:rsid w:val="00866DB6"/>
    <w:rsid w:val="00867202"/>
    <w:rsid w:val="00870FCF"/>
    <w:rsid w:val="008715E5"/>
    <w:rsid w:val="008735CC"/>
    <w:rsid w:val="00874451"/>
    <w:rsid w:val="008757F0"/>
    <w:rsid w:val="0088004C"/>
    <w:rsid w:val="008806F6"/>
    <w:rsid w:val="008822A5"/>
    <w:rsid w:val="00883691"/>
    <w:rsid w:val="008853F7"/>
    <w:rsid w:val="00885487"/>
    <w:rsid w:val="00885E02"/>
    <w:rsid w:val="00886E74"/>
    <w:rsid w:val="00890816"/>
    <w:rsid w:val="00891C49"/>
    <w:rsid w:val="00891C5E"/>
    <w:rsid w:val="00896CA9"/>
    <w:rsid w:val="008A0B50"/>
    <w:rsid w:val="008A1910"/>
    <w:rsid w:val="008A1A53"/>
    <w:rsid w:val="008A4712"/>
    <w:rsid w:val="008A5A7C"/>
    <w:rsid w:val="008A6511"/>
    <w:rsid w:val="008A7101"/>
    <w:rsid w:val="008A7210"/>
    <w:rsid w:val="008B1A7A"/>
    <w:rsid w:val="008B3F9C"/>
    <w:rsid w:val="008B40BF"/>
    <w:rsid w:val="008B5716"/>
    <w:rsid w:val="008B7927"/>
    <w:rsid w:val="008C0B93"/>
    <w:rsid w:val="008C1DD3"/>
    <w:rsid w:val="008C3469"/>
    <w:rsid w:val="008C4C58"/>
    <w:rsid w:val="008C5E34"/>
    <w:rsid w:val="008C6E81"/>
    <w:rsid w:val="008C73F5"/>
    <w:rsid w:val="008D2949"/>
    <w:rsid w:val="008E0681"/>
    <w:rsid w:val="008E59C2"/>
    <w:rsid w:val="008E6765"/>
    <w:rsid w:val="008E7F87"/>
    <w:rsid w:val="008F0D8B"/>
    <w:rsid w:val="008F1991"/>
    <w:rsid w:val="008F2F3E"/>
    <w:rsid w:val="008F4081"/>
    <w:rsid w:val="008F51E7"/>
    <w:rsid w:val="008F5666"/>
    <w:rsid w:val="008F7FE2"/>
    <w:rsid w:val="00900980"/>
    <w:rsid w:val="0090184F"/>
    <w:rsid w:val="00903046"/>
    <w:rsid w:val="00903253"/>
    <w:rsid w:val="00905813"/>
    <w:rsid w:val="00906407"/>
    <w:rsid w:val="00910443"/>
    <w:rsid w:val="009111D9"/>
    <w:rsid w:val="00912A31"/>
    <w:rsid w:val="00914B21"/>
    <w:rsid w:val="00920908"/>
    <w:rsid w:val="00920D84"/>
    <w:rsid w:val="00921E2B"/>
    <w:rsid w:val="00922D40"/>
    <w:rsid w:val="009239FF"/>
    <w:rsid w:val="00924948"/>
    <w:rsid w:val="009251C8"/>
    <w:rsid w:val="00927937"/>
    <w:rsid w:val="00927C5C"/>
    <w:rsid w:val="0093065A"/>
    <w:rsid w:val="00930D28"/>
    <w:rsid w:val="00931538"/>
    <w:rsid w:val="009323BE"/>
    <w:rsid w:val="00933029"/>
    <w:rsid w:val="00933B9B"/>
    <w:rsid w:val="00933F49"/>
    <w:rsid w:val="009347C6"/>
    <w:rsid w:val="00934E8C"/>
    <w:rsid w:val="00935C1B"/>
    <w:rsid w:val="00936F38"/>
    <w:rsid w:val="00937467"/>
    <w:rsid w:val="00941BD6"/>
    <w:rsid w:val="009433BC"/>
    <w:rsid w:val="00943CB5"/>
    <w:rsid w:val="00944D96"/>
    <w:rsid w:val="00946D6F"/>
    <w:rsid w:val="00947885"/>
    <w:rsid w:val="00952F0A"/>
    <w:rsid w:val="009545F8"/>
    <w:rsid w:val="00954642"/>
    <w:rsid w:val="00956BEE"/>
    <w:rsid w:val="00957CC0"/>
    <w:rsid w:val="00960186"/>
    <w:rsid w:val="00960B96"/>
    <w:rsid w:val="00961656"/>
    <w:rsid w:val="00964349"/>
    <w:rsid w:val="00964C9E"/>
    <w:rsid w:val="00966BAA"/>
    <w:rsid w:val="00967E82"/>
    <w:rsid w:val="0097079C"/>
    <w:rsid w:val="00971698"/>
    <w:rsid w:val="009728F8"/>
    <w:rsid w:val="009729A2"/>
    <w:rsid w:val="00973364"/>
    <w:rsid w:val="00973A5A"/>
    <w:rsid w:val="0097414B"/>
    <w:rsid w:val="009745E3"/>
    <w:rsid w:val="00975777"/>
    <w:rsid w:val="009773E6"/>
    <w:rsid w:val="0097786F"/>
    <w:rsid w:val="009805A4"/>
    <w:rsid w:val="009809A6"/>
    <w:rsid w:val="009839EE"/>
    <w:rsid w:val="00987F28"/>
    <w:rsid w:val="00990446"/>
    <w:rsid w:val="0099205E"/>
    <w:rsid w:val="009933F4"/>
    <w:rsid w:val="00993826"/>
    <w:rsid w:val="00994738"/>
    <w:rsid w:val="00994D24"/>
    <w:rsid w:val="009956B2"/>
    <w:rsid w:val="009A0275"/>
    <w:rsid w:val="009A0D0F"/>
    <w:rsid w:val="009A153E"/>
    <w:rsid w:val="009A27B2"/>
    <w:rsid w:val="009A3ED0"/>
    <w:rsid w:val="009A4125"/>
    <w:rsid w:val="009A700B"/>
    <w:rsid w:val="009A7060"/>
    <w:rsid w:val="009A7FD8"/>
    <w:rsid w:val="009B0C56"/>
    <w:rsid w:val="009B2E73"/>
    <w:rsid w:val="009B3FAB"/>
    <w:rsid w:val="009B42B5"/>
    <w:rsid w:val="009B4FE8"/>
    <w:rsid w:val="009C51CA"/>
    <w:rsid w:val="009C5555"/>
    <w:rsid w:val="009D16BB"/>
    <w:rsid w:val="009D2E61"/>
    <w:rsid w:val="009D3FF9"/>
    <w:rsid w:val="009E1D36"/>
    <w:rsid w:val="009E3AB9"/>
    <w:rsid w:val="009E43BD"/>
    <w:rsid w:val="009E6455"/>
    <w:rsid w:val="009E7C50"/>
    <w:rsid w:val="009E7D99"/>
    <w:rsid w:val="009F05D2"/>
    <w:rsid w:val="009F1A32"/>
    <w:rsid w:val="009F1CE2"/>
    <w:rsid w:val="009F215F"/>
    <w:rsid w:val="009F2F3F"/>
    <w:rsid w:val="009F451F"/>
    <w:rsid w:val="009F4FDA"/>
    <w:rsid w:val="009F511D"/>
    <w:rsid w:val="009F6098"/>
    <w:rsid w:val="009F60BE"/>
    <w:rsid w:val="009F6DA8"/>
    <w:rsid w:val="00A027D6"/>
    <w:rsid w:val="00A031E0"/>
    <w:rsid w:val="00A06721"/>
    <w:rsid w:val="00A0692F"/>
    <w:rsid w:val="00A12DC0"/>
    <w:rsid w:val="00A133BE"/>
    <w:rsid w:val="00A13F5D"/>
    <w:rsid w:val="00A1481D"/>
    <w:rsid w:val="00A176BB"/>
    <w:rsid w:val="00A17CE8"/>
    <w:rsid w:val="00A20064"/>
    <w:rsid w:val="00A22AEA"/>
    <w:rsid w:val="00A22D8E"/>
    <w:rsid w:val="00A2477C"/>
    <w:rsid w:val="00A253FC"/>
    <w:rsid w:val="00A25FA6"/>
    <w:rsid w:val="00A2671A"/>
    <w:rsid w:val="00A2753F"/>
    <w:rsid w:val="00A27BB7"/>
    <w:rsid w:val="00A300B8"/>
    <w:rsid w:val="00A3023D"/>
    <w:rsid w:val="00A33A1D"/>
    <w:rsid w:val="00A356E3"/>
    <w:rsid w:val="00A36FDE"/>
    <w:rsid w:val="00A40931"/>
    <w:rsid w:val="00A42033"/>
    <w:rsid w:val="00A44848"/>
    <w:rsid w:val="00A506F5"/>
    <w:rsid w:val="00A50946"/>
    <w:rsid w:val="00A50AD7"/>
    <w:rsid w:val="00A517FD"/>
    <w:rsid w:val="00A51A69"/>
    <w:rsid w:val="00A550FF"/>
    <w:rsid w:val="00A5651A"/>
    <w:rsid w:val="00A56C8C"/>
    <w:rsid w:val="00A60360"/>
    <w:rsid w:val="00A6399B"/>
    <w:rsid w:val="00A63C00"/>
    <w:rsid w:val="00A6469B"/>
    <w:rsid w:val="00A65253"/>
    <w:rsid w:val="00A70D47"/>
    <w:rsid w:val="00A70DD0"/>
    <w:rsid w:val="00A71B7C"/>
    <w:rsid w:val="00A75778"/>
    <w:rsid w:val="00A765D3"/>
    <w:rsid w:val="00A7751E"/>
    <w:rsid w:val="00A77EAD"/>
    <w:rsid w:val="00A812BC"/>
    <w:rsid w:val="00A81CEA"/>
    <w:rsid w:val="00A82459"/>
    <w:rsid w:val="00A8249A"/>
    <w:rsid w:val="00A82685"/>
    <w:rsid w:val="00A840B1"/>
    <w:rsid w:val="00A84238"/>
    <w:rsid w:val="00A847CD"/>
    <w:rsid w:val="00A858D6"/>
    <w:rsid w:val="00A861E2"/>
    <w:rsid w:val="00A91F12"/>
    <w:rsid w:val="00A92ADF"/>
    <w:rsid w:val="00A9600A"/>
    <w:rsid w:val="00A97CB4"/>
    <w:rsid w:val="00AA1E34"/>
    <w:rsid w:val="00AA21D8"/>
    <w:rsid w:val="00AA324C"/>
    <w:rsid w:val="00AA36C0"/>
    <w:rsid w:val="00AA6635"/>
    <w:rsid w:val="00AA6916"/>
    <w:rsid w:val="00AB0C02"/>
    <w:rsid w:val="00AB4001"/>
    <w:rsid w:val="00AB507F"/>
    <w:rsid w:val="00AB69EB"/>
    <w:rsid w:val="00AC07BC"/>
    <w:rsid w:val="00AC141E"/>
    <w:rsid w:val="00AC1620"/>
    <w:rsid w:val="00AC18D6"/>
    <w:rsid w:val="00AC1AF7"/>
    <w:rsid w:val="00AC4612"/>
    <w:rsid w:val="00AC4C8C"/>
    <w:rsid w:val="00AC5EBE"/>
    <w:rsid w:val="00AC6B7B"/>
    <w:rsid w:val="00AD1B28"/>
    <w:rsid w:val="00AD1F92"/>
    <w:rsid w:val="00AD2277"/>
    <w:rsid w:val="00AD6B64"/>
    <w:rsid w:val="00AD7BEF"/>
    <w:rsid w:val="00AE08E2"/>
    <w:rsid w:val="00AE1132"/>
    <w:rsid w:val="00AE1768"/>
    <w:rsid w:val="00AE264B"/>
    <w:rsid w:val="00AE2780"/>
    <w:rsid w:val="00AE296D"/>
    <w:rsid w:val="00AE5379"/>
    <w:rsid w:val="00AF0A3E"/>
    <w:rsid w:val="00AF1EFA"/>
    <w:rsid w:val="00AF24DD"/>
    <w:rsid w:val="00AF2F98"/>
    <w:rsid w:val="00AF4379"/>
    <w:rsid w:val="00AF45CA"/>
    <w:rsid w:val="00AF4BBF"/>
    <w:rsid w:val="00AF5BC3"/>
    <w:rsid w:val="00AF6114"/>
    <w:rsid w:val="00AF62B5"/>
    <w:rsid w:val="00AF74A0"/>
    <w:rsid w:val="00B029E7"/>
    <w:rsid w:val="00B03DE4"/>
    <w:rsid w:val="00B05576"/>
    <w:rsid w:val="00B0778E"/>
    <w:rsid w:val="00B10748"/>
    <w:rsid w:val="00B11FDC"/>
    <w:rsid w:val="00B124C3"/>
    <w:rsid w:val="00B14991"/>
    <w:rsid w:val="00B15C78"/>
    <w:rsid w:val="00B15CC7"/>
    <w:rsid w:val="00B173C3"/>
    <w:rsid w:val="00B22050"/>
    <w:rsid w:val="00B23930"/>
    <w:rsid w:val="00B27A64"/>
    <w:rsid w:val="00B300E1"/>
    <w:rsid w:val="00B32D22"/>
    <w:rsid w:val="00B33053"/>
    <w:rsid w:val="00B33E1B"/>
    <w:rsid w:val="00B3475F"/>
    <w:rsid w:val="00B34C54"/>
    <w:rsid w:val="00B35453"/>
    <w:rsid w:val="00B36503"/>
    <w:rsid w:val="00B3781B"/>
    <w:rsid w:val="00B41A1F"/>
    <w:rsid w:val="00B41BB1"/>
    <w:rsid w:val="00B42CE0"/>
    <w:rsid w:val="00B437E7"/>
    <w:rsid w:val="00B43C21"/>
    <w:rsid w:val="00B46600"/>
    <w:rsid w:val="00B47AF2"/>
    <w:rsid w:val="00B50315"/>
    <w:rsid w:val="00B504A8"/>
    <w:rsid w:val="00B52578"/>
    <w:rsid w:val="00B52FC9"/>
    <w:rsid w:val="00B5381D"/>
    <w:rsid w:val="00B53CDC"/>
    <w:rsid w:val="00B57A19"/>
    <w:rsid w:val="00B6070C"/>
    <w:rsid w:val="00B629CA"/>
    <w:rsid w:val="00B63625"/>
    <w:rsid w:val="00B670A3"/>
    <w:rsid w:val="00B7079F"/>
    <w:rsid w:val="00B73A77"/>
    <w:rsid w:val="00B76AAA"/>
    <w:rsid w:val="00B7772A"/>
    <w:rsid w:val="00B77A89"/>
    <w:rsid w:val="00B80AC7"/>
    <w:rsid w:val="00B8107D"/>
    <w:rsid w:val="00B82136"/>
    <w:rsid w:val="00B83061"/>
    <w:rsid w:val="00B8458E"/>
    <w:rsid w:val="00B8650E"/>
    <w:rsid w:val="00B86920"/>
    <w:rsid w:val="00B86B5D"/>
    <w:rsid w:val="00B93AA7"/>
    <w:rsid w:val="00B96178"/>
    <w:rsid w:val="00BA1DB5"/>
    <w:rsid w:val="00BA443A"/>
    <w:rsid w:val="00BA6601"/>
    <w:rsid w:val="00BA73BF"/>
    <w:rsid w:val="00BB10BC"/>
    <w:rsid w:val="00BB1106"/>
    <w:rsid w:val="00BB2544"/>
    <w:rsid w:val="00BB2B96"/>
    <w:rsid w:val="00BB4958"/>
    <w:rsid w:val="00BB632F"/>
    <w:rsid w:val="00BC0C11"/>
    <w:rsid w:val="00BC0F8E"/>
    <w:rsid w:val="00BC1894"/>
    <w:rsid w:val="00BC1C42"/>
    <w:rsid w:val="00BC23DB"/>
    <w:rsid w:val="00BC2831"/>
    <w:rsid w:val="00BC3901"/>
    <w:rsid w:val="00BC499E"/>
    <w:rsid w:val="00BC6C9A"/>
    <w:rsid w:val="00BD34B7"/>
    <w:rsid w:val="00BD4825"/>
    <w:rsid w:val="00BD659E"/>
    <w:rsid w:val="00BD792A"/>
    <w:rsid w:val="00BE0BBC"/>
    <w:rsid w:val="00BE56B7"/>
    <w:rsid w:val="00BE57E9"/>
    <w:rsid w:val="00BE5959"/>
    <w:rsid w:val="00BE5F82"/>
    <w:rsid w:val="00BE62CE"/>
    <w:rsid w:val="00BE7EC7"/>
    <w:rsid w:val="00BF141E"/>
    <w:rsid w:val="00BF1C6F"/>
    <w:rsid w:val="00BF23EC"/>
    <w:rsid w:val="00BF245B"/>
    <w:rsid w:val="00BF2D76"/>
    <w:rsid w:val="00C00EED"/>
    <w:rsid w:val="00C01472"/>
    <w:rsid w:val="00C0200B"/>
    <w:rsid w:val="00C03417"/>
    <w:rsid w:val="00C042FD"/>
    <w:rsid w:val="00C05340"/>
    <w:rsid w:val="00C06495"/>
    <w:rsid w:val="00C06FEE"/>
    <w:rsid w:val="00C13413"/>
    <w:rsid w:val="00C14011"/>
    <w:rsid w:val="00C15045"/>
    <w:rsid w:val="00C16217"/>
    <w:rsid w:val="00C169CF"/>
    <w:rsid w:val="00C20904"/>
    <w:rsid w:val="00C20E02"/>
    <w:rsid w:val="00C213F1"/>
    <w:rsid w:val="00C2308C"/>
    <w:rsid w:val="00C244C0"/>
    <w:rsid w:val="00C24CB1"/>
    <w:rsid w:val="00C2618A"/>
    <w:rsid w:val="00C31EBC"/>
    <w:rsid w:val="00C323BA"/>
    <w:rsid w:val="00C33684"/>
    <w:rsid w:val="00C34311"/>
    <w:rsid w:val="00C34DF9"/>
    <w:rsid w:val="00C37F7C"/>
    <w:rsid w:val="00C409DF"/>
    <w:rsid w:val="00C40F76"/>
    <w:rsid w:val="00C430EF"/>
    <w:rsid w:val="00C43CC4"/>
    <w:rsid w:val="00C467AB"/>
    <w:rsid w:val="00C502C7"/>
    <w:rsid w:val="00C50445"/>
    <w:rsid w:val="00C512CF"/>
    <w:rsid w:val="00C5407A"/>
    <w:rsid w:val="00C54EAF"/>
    <w:rsid w:val="00C5796B"/>
    <w:rsid w:val="00C57C68"/>
    <w:rsid w:val="00C61106"/>
    <w:rsid w:val="00C61247"/>
    <w:rsid w:val="00C6215A"/>
    <w:rsid w:val="00C6553E"/>
    <w:rsid w:val="00C6562F"/>
    <w:rsid w:val="00C66CA1"/>
    <w:rsid w:val="00C70466"/>
    <w:rsid w:val="00C76820"/>
    <w:rsid w:val="00C76FE4"/>
    <w:rsid w:val="00C8002B"/>
    <w:rsid w:val="00C801F4"/>
    <w:rsid w:val="00C81C9D"/>
    <w:rsid w:val="00C81DCC"/>
    <w:rsid w:val="00C81FC7"/>
    <w:rsid w:val="00C904D6"/>
    <w:rsid w:val="00C906DE"/>
    <w:rsid w:val="00C92AA9"/>
    <w:rsid w:val="00C93B73"/>
    <w:rsid w:val="00C94DF4"/>
    <w:rsid w:val="00C970F5"/>
    <w:rsid w:val="00CA0743"/>
    <w:rsid w:val="00CA1967"/>
    <w:rsid w:val="00CA240D"/>
    <w:rsid w:val="00CA4728"/>
    <w:rsid w:val="00CA6819"/>
    <w:rsid w:val="00CB0399"/>
    <w:rsid w:val="00CB0835"/>
    <w:rsid w:val="00CB0C8A"/>
    <w:rsid w:val="00CB1D0D"/>
    <w:rsid w:val="00CB214D"/>
    <w:rsid w:val="00CB319A"/>
    <w:rsid w:val="00CB3D1E"/>
    <w:rsid w:val="00CB5CF7"/>
    <w:rsid w:val="00CB6207"/>
    <w:rsid w:val="00CB6A09"/>
    <w:rsid w:val="00CB6FF9"/>
    <w:rsid w:val="00CC0B89"/>
    <w:rsid w:val="00CC1FA0"/>
    <w:rsid w:val="00CC260B"/>
    <w:rsid w:val="00CC50B3"/>
    <w:rsid w:val="00CC7CE3"/>
    <w:rsid w:val="00CD00FA"/>
    <w:rsid w:val="00CD09D6"/>
    <w:rsid w:val="00CD10CF"/>
    <w:rsid w:val="00CD160C"/>
    <w:rsid w:val="00CD237C"/>
    <w:rsid w:val="00CD30A5"/>
    <w:rsid w:val="00CD48C1"/>
    <w:rsid w:val="00CD613E"/>
    <w:rsid w:val="00CD647C"/>
    <w:rsid w:val="00CD6A23"/>
    <w:rsid w:val="00CD7825"/>
    <w:rsid w:val="00CE0826"/>
    <w:rsid w:val="00CE1215"/>
    <w:rsid w:val="00CE2F61"/>
    <w:rsid w:val="00CE42B9"/>
    <w:rsid w:val="00CE525D"/>
    <w:rsid w:val="00CE5ADE"/>
    <w:rsid w:val="00CE6304"/>
    <w:rsid w:val="00CE716D"/>
    <w:rsid w:val="00CF06A5"/>
    <w:rsid w:val="00CF0F46"/>
    <w:rsid w:val="00CF1095"/>
    <w:rsid w:val="00CF1808"/>
    <w:rsid w:val="00CF2A17"/>
    <w:rsid w:val="00CF5C2F"/>
    <w:rsid w:val="00CF7831"/>
    <w:rsid w:val="00CF7B2D"/>
    <w:rsid w:val="00D00EDA"/>
    <w:rsid w:val="00D028DF"/>
    <w:rsid w:val="00D034E3"/>
    <w:rsid w:val="00D04120"/>
    <w:rsid w:val="00D0431A"/>
    <w:rsid w:val="00D04821"/>
    <w:rsid w:val="00D04B89"/>
    <w:rsid w:val="00D07DFB"/>
    <w:rsid w:val="00D1120F"/>
    <w:rsid w:val="00D13517"/>
    <w:rsid w:val="00D1470F"/>
    <w:rsid w:val="00D20529"/>
    <w:rsid w:val="00D226D9"/>
    <w:rsid w:val="00D2578C"/>
    <w:rsid w:val="00D25F39"/>
    <w:rsid w:val="00D26CDE"/>
    <w:rsid w:val="00D31A56"/>
    <w:rsid w:val="00D31C18"/>
    <w:rsid w:val="00D33265"/>
    <w:rsid w:val="00D33C74"/>
    <w:rsid w:val="00D34648"/>
    <w:rsid w:val="00D3482B"/>
    <w:rsid w:val="00D34FEE"/>
    <w:rsid w:val="00D3607F"/>
    <w:rsid w:val="00D41E1D"/>
    <w:rsid w:val="00D41E8E"/>
    <w:rsid w:val="00D450D0"/>
    <w:rsid w:val="00D4704C"/>
    <w:rsid w:val="00D4718F"/>
    <w:rsid w:val="00D51FB3"/>
    <w:rsid w:val="00D52744"/>
    <w:rsid w:val="00D535D7"/>
    <w:rsid w:val="00D5469C"/>
    <w:rsid w:val="00D54DEA"/>
    <w:rsid w:val="00D55F07"/>
    <w:rsid w:val="00D5611B"/>
    <w:rsid w:val="00D5613C"/>
    <w:rsid w:val="00D56EEA"/>
    <w:rsid w:val="00D57F1A"/>
    <w:rsid w:val="00D608F3"/>
    <w:rsid w:val="00D60F6A"/>
    <w:rsid w:val="00D62694"/>
    <w:rsid w:val="00D64DFB"/>
    <w:rsid w:val="00D64EC3"/>
    <w:rsid w:val="00D67626"/>
    <w:rsid w:val="00D678DB"/>
    <w:rsid w:val="00D7060C"/>
    <w:rsid w:val="00D710EA"/>
    <w:rsid w:val="00D71649"/>
    <w:rsid w:val="00D7353D"/>
    <w:rsid w:val="00D7382A"/>
    <w:rsid w:val="00D74016"/>
    <w:rsid w:val="00D74B55"/>
    <w:rsid w:val="00D74BD7"/>
    <w:rsid w:val="00D81EF3"/>
    <w:rsid w:val="00D8249E"/>
    <w:rsid w:val="00D82DA6"/>
    <w:rsid w:val="00D841A2"/>
    <w:rsid w:val="00D847C6"/>
    <w:rsid w:val="00D86965"/>
    <w:rsid w:val="00D877FB"/>
    <w:rsid w:val="00D90B56"/>
    <w:rsid w:val="00D91842"/>
    <w:rsid w:val="00D97037"/>
    <w:rsid w:val="00DA10F8"/>
    <w:rsid w:val="00DA39E5"/>
    <w:rsid w:val="00DA44E9"/>
    <w:rsid w:val="00DA52EF"/>
    <w:rsid w:val="00DA6E22"/>
    <w:rsid w:val="00DB2DEE"/>
    <w:rsid w:val="00DB34BD"/>
    <w:rsid w:val="00DB5E3B"/>
    <w:rsid w:val="00DB68F8"/>
    <w:rsid w:val="00DB7C62"/>
    <w:rsid w:val="00DC1B9B"/>
    <w:rsid w:val="00DC429A"/>
    <w:rsid w:val="00DC59C4"/>
    <w:rsid w:val="00DC7302"/>
    <w:rsid w:val="00DC7B6A"/>
    <w:rsid w:val="00DD3942"/>
    <w:rsid w:val="00DD419A"/>
    <w:rsid w:val="00DD5AC3"/>
    <w:rsid w:val="00DD762C"/>
    <w:rsid w:val="00DE04F4"/>
    <w:rsid w:val="00DE1D43"/>
    <w:rsid w:val="00DE22E3"/>
    <w:rsid w:val="00DE2619"/>
    <w:rsid w:val="00DE44F3"/>
    <w:rsid w:val="00DE5150"/>
    <w:rsid w:val="00DE7F45"/>
    <w:rsid w:val="00DF0A6F"/>
    <w:rsid w:val="00DF153B"/>
    <w:rsid w:val="00DF348B"/>
    <w:rsid w:val="00DF3AB7"/>
    <w:rsid w:val="00DF3BD3"/>
    <w:rsid w:val="00DF4435"/>
    <w:rsid w:val="00DF50E3"/>
    <w:rsid w:val="00DF7021"/>
    <w:rsid w:val="00E00CE7"/>
    <w:rsid w:val="00E01B8A"/>
    <w:rsid w:val="00E02306"/>
    <w:rsid w:val="00E02CC4"/>
    <w:rsid w:val="00E047A4"/>
    <w:rsid w:val="00E06329"/>
    <w:rsid w:val="00E07654"/>
    <w:rsid w:val="00E07D0A"/>
    <w:rsid w:val="00E12B05"/>
    <w:rsid w:val="00E13F2D"/>
    <w:rsid w:val="00E15CCD"/>
    <w:rsid w:val="00E16B99"/>
    <w:rsid w:val="00E16F5F"/>
    <w:rsid w:val="00E2063E"/>
    <w:rsid w:val="00E208C5"/>
    <w:rsid w:val="00E215AC"/>
    <w:rsid w:val="00E27F99"/>
    <w:rsid w:val="00E317AD"/>
    <w:rsid w:val="00E34FEA"/>
    <w:rsid w:val="00E35377"/>
    <w:rsid w:val="00E3593A"/>
    <w:rsid w:val="00E363B4"/>
    <w:rsid w:val="00E4043D"/>
    <w:rsid w:val="00E40A5E"/>
    <w:rsid w:val="00E414A5"/>
    <w:rsid w:val="00E41C99"/>
    <w:rsid w:val="00E430E6"/>
    <w:rsid w:val="00E45180"/>
    <w:rsid w:val="00E456AA"/>
    <w:rsid w:val="00E459CD"/>
    <w:rsid w:val="00E4692D"/>
    <w:rsid w:val="00E47D03"/>
    <w:rsid w:val="00E51B74"/>
    <w:rsid w:val="00E5473D"/>
    <w:rsid w:val="00E568AB"/>
    <w:rsid w:val="00E57169"/>
    <w:rsid w:val="00E5750F"/>
    <w:rsid w:val="00E623A2"/>
    <w:rsid w:val="00E62D62"/>
    <w:rsid w:val="00E63054"/>
    <w:rsid w:val="00E636AE"/>
    <w:rsid w:val="00E652CB"/>
    <w:rsid w:val="00E65E02"/>
    <w:rsid w:val="00E6764D"/>
    <w:rsid w:val="00E67CDA"/>
    <w:rsid w:val="00E73255"/>
    <w:rsid w:val="00E73E15"/>
    <w:rsid w:val="00E74A31"/>
    <w:rsid w:val="00E74D0A"/>
    <w:rsid w:val="00E751C1"/>
    <w:rsid w:val="00E757AE"/>
    <w:rsid w:val="00E762D6"/>
    <w:rsid w:val="00E76A1D"/>
    <w:rsid w:val="00E76D3D"/>
    <w:rsid w:val="00E7777D"/>
    <w:rsid w:val="00E81F40"/>
    <w:rsid w:val="00E82872"/>
    <w:rsid w:val="00E83802"/>
    <w:rsid w:val="00E84856"/>
    <w:rsid w:val="00E85AAF"/>
    <w:rsid w:val="00E90260"/>
    <w:rsid w:val="00E90BF2"/>
    <w:rsid w:val="00E92BE1"/>
    <w:rsid w:val="00E9424C"/>
    <w:rsid w:val="00E9436A"/>
    <w:rsid w:val="00E94FC0"/>
    <w:rsid w:val="00E9510E"/>
    <w:rsid w:val="00E97106"/>
    <w:rsid w:val="00EA0BFC"/>
    <w:rsid w:val="00EA212B"/>
    <w:rsid w:val="00EA3B12"/>
    <w:rsid w:val="00EA5442"/>
    <w:rsid w:val="00EA544F"/>
    <w:rsid w:val="00EA648C"/>
    <w:rsid w:val="00EA6A7E"/>
    <w:rsid w:val="00EB039D"/>
    <w:rsid w:val="00EB0617"/>
    <w:rsid w:val="00EB1D13"/>
    <w:rsid w:val="00EB1F4E"/>
    <w:rsid w:val="00EB216A"/>
    <w:rsid w:val="00EB2764"/>
    <w:rsid w:val="00EB296C"/>
    <w:rsid w:val="00EB665E"/>
    <w:rsid w:val="00EB7AC0"/>
    <w:rsid w:val="00EC0C6B"/>
    <w:rsid w:val="00EC28B7"/>
    <w:rsid w:val="00EC2B39"/>
    <w:rsid w:val="00EC3704"/>
    <w:rsid w:val="00EC3D0D"/>
    <w:rsid w:val="00EC58F7"/>
    <w:rsid w:val="00EC6CC3"/>
    <w:rsid w:val="00EC6E28"/>
    <w:rsid w:val="00EC6F7E"/>
    <w:rsid w:val="00EC7847"/>
    <w:rsid w:val="00EC7C6A"/>
    <w:rsid w:val="00ED0412"/>
    <w:rsid w:val="00ED058F"/>
    <w:rsid w:val="00ED12B2"/>
    <w:rsid w:val="00ED2324"/>
    <w:rsid w:val="00ED26DF"/>
    <w:rsid w:val="00ED3F49"/>
    <w:rsid w:val="00ED4018"/>
    <w:rsid w:val="00ED4B5A"/>
    <w:rsid w:val="00ED5927"/>
    <w:rsid w:val="00ED5D74"/>
    <w:rsid w:val="00EE0478"/>
    <w:rsid w:val="00EE188D"/>
    <w:rsid w:val="00EE2656"/>
    <w:rsid w:val="00EE2819"/>
    <w:rsid w:val="00EE2A0C"/>
    <w:rsid w:val="00EE4EF6"/>
    <w:rsid w:val="00EF133D"/>
    <w:rsid w:val="00EF142E"/>
    <w:rsid w:val="00EF1BBE"/>
    <w:rsid w:val="00EF1DCA"/>
    <w:rsid w:val="00EF273D"/>
    <w:rsid w:val="00EF2DC6"/>
    <w:rsid w:val="00EF3122"/>
    <w:rsid w:val="00EF3BC9"/>
    <w:rsid w:val="00EF4AD0"/>
    <w:rsid w:val="00EF4F9A"/>
    <w:rsid w:val="00EF59BE"/>
    <w:rsid w:val="00EF6E24"/>
    <w:rsid w:val="00EF7F2D"/>
    <w:rsid w:val="00F02C2F"/>
    <w:rsid w:val="00F03094"/>
    <w:rsid w:val="00F037DD"/>
    <w:rsid w:val="00F04640"/>
    <w:rsid w:val="00F117BA"/>
    <w:rsid w:val="00F11B7A"/>
    <w:rsid w:val="00F145A2"/>
    <w:rsid w:val="00F1683E"/>
    <w:rsid w:val="00F16AD4"/>
    <w:rsid w:val="00F16C82"/>
    <w:rsid w:val="00F20CBA"/>
    <w:rsid w:val="00F22E5D"/>
    <w:rsid w:val="00F23333"/>
    <w:rsid w:val="00F246E7"/>
    <w:rsid w:val="00F247EE"/>
    <w:rsid w:val="00F26178"/>
    <w:rsid w:val="00F26493"/>
    <w:rsid w:val="00F27B8A"/>
    <w:rsid w:val="00F351F5"/>
    <w:rsid w:val="00F37308"/>
    <w:rsid w:val="00F37814"/>
    <w:rsid w:val="00F400A8"/>
    <w:rsid w:val="00F40774"/>
    <w:rsid w:val="00F40A03"/>
    <w:rsid w:val="00F417CB"/>
    <w:rsid w:val="00F427C5"/>
    <w:rsid w:val="00F43EBB"/>
    <w:rsid w:val="00F4442D"/>
    <w:rsid w:val="00F44DD7"/>
    <w:rsid w:val="00F4680B"/>
    <w:rsid w:val="00F4743C"/>
    <w:rsid w:val="00F4761F"/>
    <w:rsid w:val="00F510AD"/>
    <w:rsid w:val="00F52F16"/>
    <w:rsid w:val="00F53D48"/>
    <w:rsid w:val="00F54565"/>
    <w:rsid w:val="00F55D19"/>
    <w:rsid w:val="00F55D3C"/>
    <w:rsid w:val="00F56E56"/>
    <w:rsid w:val="00F5700C"/>
    <w:rsid w:val="00F577D6"/>
    <w:rsid w:val="00F6083E"/>
    <w:rsid w:val="00F610B8"/>
    <w:rsid w:val="00F61EDA"/>
    <w:rsid w:val="00F6325B"/>
    <w:rsid w:val="00F637B9"/>
    <w:rsid w:val="00F641AD"/>
    <w:rsid w:val="00F6488B"/>
    <w:rsid w:val="00F64B5B"/>
    <w:rsid w:val="00F66E48"/>
    <w:rsid w:val="00F70780"/>
    <w:rsid w:val="00F71E1D"/>
    <w:rsid w:val="00F724CD"/>
    <w:rsid w:val="00F732EB"/>
    <w:rsid w:val="00F7376F"/>
    <w:rsid w:val="00F74E8A"/>
    <w:rsid w:val="00F75115"/>
    <w:rsid w:val="00F81FBF"/>
    <w:rsid w:val="00F82FD0"/>
    <w:rsid w:val="00F83759"/>
    <w:rsid w:val="00F83839"/>
    <w:rsid w:val="00F83A56"/>
    <w:rsid w:val="00F83CD9"/>
    <w:rsid w:val="00F83FD1"/>
    <w:rsid w:val="00F85219"/>
    <w:rsid w:val="00F8523F"/>
    <w:rsid w:val="00F90AD6"/>
    <w:rsid w:val="00F91431"/>
    <w:rsid w:val="00F916E6"/>
    <w:rsid w:val="00F959C8"/>
    <w:rsid w:val="00F962CB"/>
    <w:rsid w:val="00F977F8"/>
    <w:rsid w:val="00F978A2"/>
    <w:rsid w:val="00FA212C"/>
    <w:rsid w:val="00FA2900"/>
    <w:rsid w:val="00FA4A22"/>
    <w:rsid w:val="00FA5375"/>
    <w:rsid w:val="00FA5DF7"/>
    <w:rsid w:val="00FB2537"/>
    <w:rsid w:val="00FB32F0"/>
    <w:rsid w:val="00FB5706"/>
    <w:rsid w:val="00FB596B"/>
    <w:rsid w:val="00FB6BD0"/>
    <w:rsid w:val="00FC0124"/>
    <w:rsid w:val="00FC4801"/>
    <w:rsid w:val="00FC5EE8"/>
    <w:rsid w:val="00FC674E"/>
    <w:rsid w:val="00FC726E"/>
    <w:rsid w:val="00FD1632"/>
    <w:rsid w:val="00FD287C"/>
    <w:rsid w:val="00FD2DDF"/>
    <w:rsid w:val="00FD4212"/>
    <w:rsid w:val="00FD4849"/>
    <w:rsid w:val="00FD5EF6"/>
    <w:rsid w:val="00FD6DD4"/>
    <w:rsid w:val="00FD7C04"/>
    <w:rsid w:val="00FE1448"/>
    <w:rsid w:val="00FE65EB"/>
    <w:rsid w:val="00FE7D0F"/>
    <w:rsid w:val="00FF0B4E"/>
    <w:rsid w:val="00FF2F0E"/>
    <w:rsid w:val="00FF5A6D"/>
    <w:rsid w:val="00FF6409"/>
    <w:rsid w:val="00FF7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CA8EF661-D2D6-4B21-B198-125F9925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0EA"/>
    <w:rPr>
      <w:sz w:val="24"/>
      <w:szCs w:val="24"/>
      <w:lang w:eastAsia="en-US" w:bidi="en-US"/>
    </w:rPr>
  </w:style>
  <w:style w:type="paragraph" w:styleId="Heading1">
    <w:name w:val="heading 1"/>
    <w:basedOn w:val="Normal"/>
    <w:next w:val="Normal"/>
    <w:link w:val="Heading1Char"/>
    <w:uiPriority w:val="9"/>
    <w:qFormat/>
    <w:rsid w:val="00CD782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CD782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D782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D782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D782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D782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D7825"/>
    <w:pPr>
      <w:spacing w:before="240" w:after="60"/>
      <w:outlineLvl w:val="6"/>
    </w:pPr>
  </w:style>
  <w:style w:type="paragraph" w:styleId="Heading8">
    <w:name w:val="heading 8"/>
    <w:basedOn w:val="Normal"/>
    <w:next w:val="Normal"/>
    <w:link w:val="Heading8Char"/>
    <w:uiPriority w:val="9"/>
    <w:semiHidden/>
    <w:unhideWhenUsed/>
    <w:qFormat/>
    <w:rsid w:val="00CD7825"/>
    <w:pPr>
      <w:spacing w:before="240" w:after="60"/>
      <w:outlineLvl w:val="7"/>
    </w:pPr>
    <w:rPr>
      <w:i/>
      <w:iCs/>
    </w:rPr>
  </w:style>
  <w:style w:type="paragraph" w:styleId="Heading9">
    <w:name w:val="heading 9"/>
    <w:basedOn w:val="Normal"/>
    <w:next w:val="Normal"/>
    <w:link w:val="Heading9Char"/>
    <w:uiPriority w:val="9"/>
    <w:semiHidden/>
    <w:unhideWhenUsed/>
    <w:qFormat/>
    <w:rsid w:val="00CD782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02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D7825"/>
    <w:pPr>
      <w:ind w:left="720"/>
      <w:contextualSpacing/>
    </w:pPr>
  </w:style>
  <w:style w:type="paragraph" w:styleId="BalloonText">
    <w:name w:val="Balloon Text"/>
    <w:basedOn w:val="Normal"/>
    <w:link w:val="BalloonTextChar"/>
    <w:uiPriority w:val="99"/>
    <w:semiHidden/>
    <w:unhideWhenUsed/>
    <w:rsid w:val="007C7DAD"/>
    <w:rPr>
      <w:rFonts w:ascii="Tahoma" w:hAnsi="Tahoma" w:cs="Tahoma"/>
      <w:sz w:val="16"/>
      <w:szCs w:val="16"/>
    </w:rPr>
  </w:style>
  <w:style w:type="character" w:customStyle="1" w:styleId="BalloonTextChar">
    <w:name w:val="Balloon Text Char"/>
    <w:basedOn w:val="DefaultParagraphFont"/>
    <w:link w:val="BalloonText"/>
    <w:uiPriority w:val="99"/>
    <w:semiHidden/>
    <w:rsid w:val="007C7DAD"/>
    <w:rPr>
      <w:rFonts w:ascii="Tahoma" w:hAnsi="Tahoma" w:cs="Tahoma"/>
      <w:sz w:val="16"/>
      <w:szCs w:val="16"/>
    </w:rPr>
  </w:style>
  <w:style w:type="paragraph" w:styleId="Header">
    <w:name w:val="header"/>
    <w:basedOn w:val="Normal"/>
    <w:link w:val="HeaderChar"/>
    <w:uiPriority w:val="99"/>
    <w:unhideWhenUsed/>
    <w:rsid w:val="00C61247"/>
    <w:pPr>
      <w:tabs>
        <w:tab w:val="center" w:pos="4513"/>
        <w:tab w:val="right" w:pos="9026"/>
      </w:tabs>
    </w:pPr>
  </w:style>
  <w:style w:type="character" w:customStyle="1" w:styleId="HeaderChar">
    <w:name w:val="Header Char"/>
    <w:basedOn w:val="DefaultParagraphFont"/>
    <w:link w:val="Header"/>
    <w:uiPriority w:val="99"/>
    <w:rsid w:val="00C61247"/>
  </w:style>
  <w:style w:type="paragraph" w:styleId="Footer">
    <w:name w:val="footer"/>
    <w:basedOn w:val="Normal"/>
    <w:link w:val="FooterChar"/>
    <w:uiPriority w:val="99"/>
    <w:unhideWhenUsed/>
    <w:rsid w:val="00C61247"/>
    <w:pPr>
      <w:tabs>
        <w:tab w:val="center" w:pos="4513"/>
        <w:tab w:val="right" w:pos="9026"/>
      </w:tabs>
    </w:pPr>
  </w:style>
  <w:style w:type="character" w:customStyle="1" w:styleId="FooterChar">
    <w:name w:val="Footer Char"/>
    <w:basedOn w:val="DefaultParagraphFont"/>
    <w:link w:val="Footer"/>
    <w:uiPriority w:val="99"/>
    <w:rsid w:val="00C61247"/>
  </w:style>
  <w:style w:type="character" w:styleId="Hyperlink">
    <w:name w:val="Hyperlink"/>
    <w:basedOn w:val="DefaultParagraphFont"/>
    <w:uiPriority w:val="99"/>
    <w:unhideWhenUsed/>
    <w:rsid w:val="00A13F5D"/>
    <w:rPr>
      <w:color w:val="0000FF"/>
      <w:u w:val="single"/>
    </w:rPr>
  </w:style>
  <w:style w:type="character" w:customStyle="1" w:styleId="Heading1Char">
    <w:name w:val="Heading 1 Char"/>
    <w:basedOn w:val="DefaultParagraphFont"/>
    <w:link w:val="Heading1"/>
    <w:uiPriority w:val="9"/>
    <w:rsid w:val="00CD7825"/>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CD7825"/>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CD7825"/>
    <w:rPr>
      <w:rFonts w:ascii="Cambria" w:eastAsia="Times New Roman" w:hAnsi="Cambria"/>
      <w:b/>
      <w:bCs/>
      <w:sz w:val="26"/>
      <w:szCs w:val="26"/>
    </w:rPr>
  </w:style>
  <w:style w:type="character" w:customStyle="1" w:styleId="Heading4Char">
    <w:name w:val="Heading 4 Char"/>
    <w:basedOn w:val="DefaultParagraphFont"/>
    <w:link w:val="Heading4"/>
    <w:uiPriority w:val="9"/>
    <w:rsid w:val="00CD7825"/>
    <w:rPr>
      <w:b/>
      <w:bCs/>
      <w:sz w:val="28"/>
      <w:szCs w:val="28"/>
    </w:rPr>
  </w:style>
  <w:style w:type="character" w:customStyle="1" w:styleId="Heading5Char">
    <w:name w:val="Heading 5 Char"/>
    <w:basedOn w:val="DefaultParagraphFont"/>
    <w:link w:val="Heading5"/>
    <w:uiPriority w:val="9"/>
    <w:semiHidden/>
    <w:rsid w:val="00CD7825"/>
    <w:rPr>
      <w:b/>
      <w:bCs/>
      <w:i/>
      <w:iCs/>
      <w:sz w:val="26"/>
      <w:szCs w:val="26"/>
    </w:rPr>
  </w:style>
  <w:style w:type="character" w:customStyle="1" w:styleId="Heading6Char">
    <w:name w:val="Heading 6 Char"/>
    <w:basedOn w:val="DefaultParagraphFont"/>
    <w:link w:val="Heading6"/>
    <w:uiPriority w:val="9"/>
    <w:semiHidden/>
    <w:rsid w:val="00CD7825"/>
    <w:rPr>
      <w:b/>
      <w:bCs/>
    </w:rPr>
  </w:style>
  <w:style w:type="character" w:customStyle="1" w:styleId="Heading7Char">
    <w:name w:val="Heading 7 Char"/>
    <w:basedOn w:val="DefaultParagraphFont"/>
    <w:link w:val="Heading7"/>
    <w:uiPriority w:val="9"/>
    <w:semiHidden/>
    <w:rsid w:val="00CD7825"/>
    <w:rPr>
      <w:sz w:val="24"/>
      <w:szCs w:val="24"/>
    </w:rPr>
  </w:style>
  <w:style w:type="character" w:customStyle="1" w:styleId="Heading8Char">
    <w:name w:val="Heading 8 Char"/>
    <w:basedOn w:val="DefaultParagraphFont"/>
    <w:link w:val="Heading8"/>
    <w:uiPriority w:val="9"/>
    <w:semiHidden/>
    <w:rsid w:val="00CD7825"/>
    <w:rPr>
      <w:i/>
      <w:iCs/>
      <w:sz w:val="24"/>
      <w:szCs w:val="24"/>
    </w:rPr>
  </w:style>
  <w:style w:type="character" w:customStyle="1" w:styleId="Heading9Char">
    <w:name w:val="Heading 9 Char"/>
    <w:basedOn w:val="DefaultParagraphFont"/>
    <w:link w:val="Heading9"/>
    <w:uiPriority w:val="9"/>
    <w:semiHidden/>
    <w:rsid w:val="00CD7825"/>
    <w:rPr>
      <w:rFonts w:ascii="Cambria" w:eastAsia="Times New Roman" w:hAnsi="Cambria"/>
    </w:rPr>
  </w:style>
  <w:style w:type="paragraph" w:styleId="Title">
    <w:name w:val="Title"/>
    <w:basedOn w:val="Normal"/>
    <w:next w:val="Normal"/>
    <w:link w:val="TitleChar"/>
    <w:uiPriority w:val="10"/>
    <w:qFormat/>
    <w:rsid w:val="00CD782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CD7825"/>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D7825"/>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CD7825"/>
    <w:rPr>
      <w:rFonts w:ascii="Cambria" w:eastAsia="Times New Roman" w:hAnsi="Cambria"/>
      <w:sz w:val="24"/>
      <w:szCs w:val="24"/>
    </w:rPr>
  </w:style>
  <w:style w:type="character" w:styleId="Strong">
    <w:name w:val="Strong"/>
    <w:basedOn w:val="DefaultParagraphFont"/>
    <w:uiPriority w:val="22"/>
    <w:qFormat/>
    <w:rsid w:val="00CD7825"/>
    <w:rPr>
      <w:b/>
      <w:bCs/>
    </w:rPr>
  </w:style>
  <w:style w:type="character" w:styleId="Emphasis">
    <w:name w:val="Emphasis"/>
    <w:basedOn w:val="DefaultParagraphFont"/>
    <w:uiPriority w:val="20"/>
    <w:qFormat/>
    <w:rsid w:val="00CD7825"/>
    <w:rPr>
      <w:rFonts w:ascii="Calibri" w:hAnsi="Calibri"/>
      <w:b/>
      <w:i/>
      <w:iCs/>
    </w:rPr>
  </w:style>
  <w:style w:type="paragraph" w:styleId="NoSpacing">
    <w:name w:val="No Spacing"/>
    <w:basedOn w:val="Normal"/>
    <w:uiPriority w:val="1"/>
    <w:qFormat/>
    <w:rsid w:val="00CD7825"/>
    <w:rPr>
      <w:szCs w:val="32"/>
    </w:rPr>
  </w:style>
  <w:style w:type="paragraph" w:styleId="Quote">
    <w:name w:val="Quote"/>
    <w:basedOn w:val="Normal"/>
    <w:next w:val="Normal"/>
    <w:link w:val="QuoteChar"/>
    <w:uiPriority w:val="29"/>
    <w:qFormat/>
    <w:rsid w:val="00CD7825"/>
    <w:rPr>
      <w:i/>
    </w:rPr>
  </w:style>
  <w:style w:type="character" w:customStyle="1" w:styleId="QuoteChar">
    <w:name w:val="Quote Char"/>
    <w:basedOn w:val="DefaultParagraphFont"/>
    <w:link w:val="Quote"/>
    <w:uiPriority w:val="29"/>
    <w:rsid w:val="00CD7825"/>
    <w:rPr>
      <w:i/>
      <w:sz w:val="24"/>
      <w:szCs w:val="24"/>
    </w:rPr>
  </w:style>
  <w:style w:type="paragraph" w:styleId="IntenseQuote">
    <w:name w:val="Intense Quote"/>
    <w:basedOn w:val="Normal"/>
    <w:next w:val="Normal"/>
    <w:link w:val="IntenseQuoteChar"/>
    <w:uiPriority w:val="30"/>
    <w:qFormat/>
    <w:rsid w:val="00CD7825"/>
    <w:pPr>
      <w:ind w:left="720" w:right="720"/>
    </w:pPr>
    <w:rPr>
      <w:b/>
      <w:i/>
      <w:szCs w:val="22"/>
    </w:rPr>
  </w:style>
  <w:style w:type="character" w:customStyle="1" w:styleId="IntenseQuoteChar">
    <w:name w:val="Intense Quote Char"/>
    <w:basedOn w:val="DefaultParagraphFont"/>
    <w:link w:val="IntenseQuote"/>
    <w:uiPriority w:val="30"/>
    <w:rsid w:val="00CD7825"/>
    <w:rPr>
      <w:b/>
      <w:i/>
      <w:sz w:val="24"/>
    </w:rPr>
  </w:style>
  <w:style w:type="character" w:styleId="SubtleEmphasis">
    <w:name w:val="Subtle Emphasis"/>
    <w:uiPriority w:val="19"/>
    <w:qFormat/>
    <w:rsid w:val="00CD7825"/>
    <w:rPr>
      <w:i/>
      <w:color w:val="5A5A5A"/>
    </w:rPr>
  </w:style>
  <w:style w:type="character" w:styleId="IntenseEmphasis">
    <w:name w:val="Intense Emphasis"/>
    <w:basedOn w:val="DefaultParagraphFont"/>
    <w:uiPriority w:val="21"/>
    <w:qFormat/>
    <w:rsid w:val="00CD7825"/>
    <w:rPr>
      <w:b/>
      <w:i/>
      <w:sz w:val="24"/>
      <w:szCs w:val="24"/>
      <w:u w:val="single"/>
    </w:rPr>
  </w:style>
  <w:style w:type="character" w:styleId="SubtleReference">
    <w:name w:val="Subtle Reference"/>
    <w:basedOn w:val="DefaultParagraphFont"/>
    <w:uiPriority w:val="31"/>
    <w:qFormat/>
    <w:rsid w:val="00CD7825"/>
    <w:rPr>
      <w:sz w:val="24"/>
      <w:szCs w:val="24"/>
      <w:u w:val="single"/>
    </w:rPr>
  </w:style>
  <w:style w:type="character" w:styleId="IntenseReference">
    <w:name w:val="Intense Reference"/>
    <w:basedOn w:val="DefaultParagraphFont"/>
    <w:uiPriority w:val="32"/>
    <w:qFormat/>
    <w:rsid w:val="00CD7825"/>
    <w:rPr>
      <w:b/>
      <w:sz w:val="24"/>
      <w:u w:val="single"/>
    </w:rPr>
  </w:style>
  <w:style w:type="character" w:styleId="BookTitle">
    <w:name w:val="Book Title"/>
    <w:basedOn w:val="DefaultParagraphFont"/>
    <w:uiPriority w:val="33"/>
    <w:qFormat/>
    <w:rsid w:val="00CD7825"/>
    <w:rPr>
      <w:rFonts w:ascii="Cambria" w:eastAsia="Times New Roman" w:hAnsi="Cambria"/>
      <w:b/>
      <w:i/>
      <w:sz w:val="24"/>
      <w:szCs w:val="24"/>
    </w:rPr>
  </w:style>
  <w:style w:type="paragraph" w:styleId="TOCHeading">
    <w:name w:val="TOC Heading"/>
    <w:basedOn w:val="Heading1"/>
    <w:next w:val="Normal"/>
    <w:uiPriority w:val="39"/>
    <w:semiHidden/>
    <w:unhideWhenUsed/>
    <w:qFormat/>
    <w:rsid w:val="00CD7825"/>
    <w:pPr>
      <w:outlineLvl w:val="9"/>
    </w:pPr>
  </w:style>
  <w:style w:type="paragraph" w:customStyle="1" w:styleId="Default">
    <w:name w:val="Default"/>
    <w:rsid w:val="00D678D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662281"/>
    <w:pPr>
      <w:spacing w:before="100" w:beforeAutospacing="1" w:after="100" w:afterAutospacing="1"/>
    </w:pPr>
    <w:rPr>
      <w:rFonts w:ascii="Times New Roman" w:hAnsi="Times New Roman"/>
      <w:lang w:eastAsia="en-GB" w:bidi="ar-SA"/>
    </w:rPr>
  </w:style>
  <w:style w:type="paragraph" w:styleId="FootnoteText">
    <w:name w:val="footnote text"/>
    <w:basedOn w:val="Normal"/>
    <w:link w:val="FootnoteTextChar"/>
    <w:uiPriority w:val="99"/>
    <w:semiHidden/>
    <w:unhideWhenUsed/>
    <w:rsid w:val="00A812BC"/>
    <w:rPr>
      <w:rFonts w:asciiTheme="minorHAnsi" w:eastAsiaTheme="minorHAnsi" w:hAnsiTheme="minorHAnsi" w:cstheme="minorBidi"/>
      <w:sz w:val="20"/>
      <w:szCs w:val="20"/>
      <w:lang w:bidi="ar-SA"/>
    </w:rPr>
  </w:style>
  <w:style w:type="character" w:customStyle="1" w:styleId="FootnoteTextChar">
    <w:name w:val="Footnote Text Char"/>
    <w:basedOn w:val="DefaultParagraphFont"/>
    <w:link w:val="FootnoteText"/>
    <w:uiPriority w:val="99"/>
    <w:semiHidden/>
    <w:rsid w:val="00A812BC"/>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A812BC"/>
    <w:rPr>
      <w:vertAlign w:val="superscript"/>
    </w:rPr>
  </w:style>
  <w:style w:type="character" w:styleId="FollowedHyperlink">
    <w:name w:val="FollowedHyperlink"/>
    <w:basedOn w:val="DefaultParagraphFont"/>
    <w:uiPriority w:val="99"/>
    <w:semiHidden/>
    <w:unhideWhenUsed/>
    <w:rsid w:val="00F510AD"/>
    <w:rPr>
      <w:color w:val="800080" w:themeColor="followedHyperlink"/>
      <w:u w:val="single"/>
    </w:rPr>
  </w:style>
  <w:style w:type="character" w:customStyle="1" w:styleId="legds">
    <w:name w:val="legds"/>
    <w:basedOn w:val="DefaultParagraphFont"/>
    <w:rsid w:val="007124B0"/>
  </w:style>
  <w:style w:type="paragraph" w:customStyle="1" w:styleId="legclearfix">
    <w:name w:val="legclearfix"/>
    <w:basedOn w:val="Normal"/>
    <w:rsid w:val="007124B0"/>
    <w:pPr>
      <w:spacing w:before="100" w:beforeAutospacing="1" w:after="100" w:afterAutospacing="1"/>
    </w:pPr>
    <w:rPr>
      <w:rFonts w:ascii="Times New Roman" w:hAnsi="Times New Roman"/>
      <w:lang w:eastAsia="en-GB" w:bidi="ar-SA"/>
    </w:rPr>
  </w:style>
  <w:style w:type="paragraph" w:customStyle="1" w:styleId="legrhs">
    <w:name w:val="legrhs"/>
    <w:basedOn w:val="Normal"/>
    <w:rsid w:val="007124B0"/>
    <w:pPr>
      <w:spacing w:before="100" w:beforeAutospacing="1" w:after="100" w:afterAutospacing="1"/>
    </w:pPr>
    <w:rPr>
      <w:rFonts w:ascii="Times New Roman" w:hAnsi="Times New Roman"/>
      <w:lang w:eastAsia="en-GB" w:bidi="ar-SA"/>
    </w:rPr>
  </w:style>
  <w:style w:type="character" w:customStyle="1" w:styleId="apple-converted-space">
    <w:name w:val="apple-converted-space"/>
    <w:basedOn w:val="DefaultParagraphFont"/>
    <w:rsid w:val="007124B0"/>
  </w:style>
  <w:style w:type="paragraph" w:customStyle="1" w:styleId="leglisttextstandard">
    <w:name w:val="leglisttextstandard"/>
    <w:basedOn w:val="Normal"/>
    <w:rsid w:val="007124B0"/>
    <w:pPr>
      <w:spacing w:before="100" w:beforeAutospacing="1" w:after="100" w:afterAutospacing="1"/>
    </w:pPr>
    <w:rPr>
      <w:rFonts w:ascii="Times New Roman" w:hAnsi="Times New Roman"/>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94038">
      <w:bodyDiv w:val="1"/>
      <w:marLeft w:val="0"/>
      <w:marRight w:val="0"/>
      <w:marTop w:val="0"/>
      <w:marBottom w:val="0"/>
      <w:divBdr>
        <w:top w:val="none" w:sz="0" w:space="0" w:color="auto"/>
        <w:left w:val="none" w:sz="0" w:space="0" w:color="auto"/>
        <w:bottom w:val="none" w:sz="0" w:space="0" w:color="auto"/>
        <w:right w:val="none" w:sz="0" w:space="0" w:color="auto"/>
      </w:divBdr>
    </w:div>
    <w:div w:id="130368226">
      <w:bodyDiv w:val="1"/>
      <w:marLeft w:val="0"/>
      <w:marRight w:val="0"/>
      <w:marTop w:val="0"/>
      <w:marBottom w:val="0"/>
      <w:divBdr>
        <w:top w:val="none" w:sz="0" w:space="0" w:color="auto"/>
        <w:left w:val="none" w:sz="0" w:space="0" w:color="auto"/>
        <w:bottom w:val="none" w:sz="0" w:space="0" w:color="auto"/>
        <w:right w:val="none" w:sz="0" w:space="0" w:color="auto"/>
      </w:divBdr>
    </w:div>
    <w:div w:id="173035600">
      <w:bodyDiv w:val="1"/>
      <w:marLeft w:val="0"/>
      <w:marRight w:val="0"/>
      <w:marTop w:val="0"/>
      <w:marBottom w:val="0"/>
      <w:divBdr>
        <w:top w:val="none" w:sz="0" w:space="0" w:color="auto"/>
        <w:left w:val="none" w:sz="0" w:space="0" w:color="auto"/>
        <w:bottom w:val="none" w:sz="0" w:space="0" w:color="auto"/>
        <w:right w:val="none" w:sz="0" w:space="0" w:color="auto"/>
      </w:divBdr>
      <w:divsChild>
        <w:div w:id="15155481">
          <w:marLeft w:val="0"/>
          <w:marRight w:val="0"/>
          <w:marTop w:val="0"/>
          <w:marBottom w:val="0"/>
          <w:divBdr>
            <w:top w:val="none" w:sz="0" w:space="0" w:color="auto"/>
            <w:left w:val="none" w:sz="0" w:space="0" w:color="auto"/>
            <w:bottom w:val="none" w:sz="0" w:space="0" w:color="auto"/>
            <w:right w:val="none" w:sz="0" w:space="0" w:color="auto"/>
          </w:divBdr>
        </w:div>
      </w:divsChild>
    </w:div>
    <w:div w:id="315496319">
      <w:bodyDiv w:val="1"/>
      <w:marLeft w:val="0"/>
      <w:marRight w:val="0"/>
      <w:marTop w:val="0"/>
      <w:marBottom w:val="0"/>
      <w:divBdr>
        <w:top w:val="none" w:sz="0" w:space="0" w:color="auto"/>
        <w:left w:val="none" w:sz="0" w:space="0" w:color="auto"/>
        <w:bottom w:val="none" w:sz="0" w:space="0" w:color="auto"/>
        <w:right w:val="none" w:sz="0" w:space="0" w:color="auto"/>
      </w:divBdr>
    </w:div>
    <w:div w:id="347100225">
      <w:bodyDiv w:val="1"/>
      <w:marLeft w:val="0"/>
      <w:marRight w:val="0"/>
      <w:marTop w:val="0"/>
      <w:marBottom w:val="0"/>
      <w:divBdr>
        <w:top w:val="none" w:sz="0" w:space="0" w:color="auto"/>
        <w:left w:val="none" w:sz="0" w:space="0" w:color="auto"/>
        <w:bottom w:val="none" w:sz="0" w:space="0" w:color="auto"/>
        <w:right w:val="none" w:sz="0" w:space="0" w:color="auto"/>
      </w:divBdr>
      <w:divsChild>
        <w:div w:id="876091347">
          <w:marLeft w:val="0"/>
          <w:marRight w:val="0"/>
          <w:marTop w:val="0"/>
          <w:marBottom w:val="0"/>
          <w:divBdr>
            <w:top w:val="none" w:sz="0" w:space="0" w:color="auto"/>
            <w:left w:val="none" w:sz="0" w:space="0" w:color="auto"/>
            <w:bottom w:val="none" w:sz="0" w:space="0" w:color="auto"/>
            <w:right w:val="none" w:sz="0" w:space="0" w:color="auto"/>
          </w:divBdr>
        </w:div>
      </w:divsChild>
    </w:div>
    <w:div w:id="581836599">
      <w:bodyDiv w:val="1"/>
      <w:marLeft w:val="0"/>
      <w:marRight w:val="0"/>
      <w:marTop w:val="0"/>
      <w:marBottom w:val="0"/>
      <w:divBdr>
        <w:top w:val="none" w:sz="0" w:space="0" w:color="auto"/>
        <w:left w:val="none" w:sz="0" w:space="0" w:color="auto"/>
        <w:bottom w:val="none" w:sz="0" w:space="0" w:color="auto"/>
        <w:right w:val="none" w:sz="0" w:space="0" w:color="auto"/>
      </w:divBdr>
    </w:div>
    <w:div w:id="599608375">
      <w:bodyDiv w:val="1"/>
      <w:marLeft w:val="0"/>
      <w:marRight w:val="0"/>
      <w:marTop w:val="0"/>
      <w:marBottom w:val="0"/>
      <w:divBdr>
        <w:top w:val="none" w:sz="0" w:space="0" w:color="auto"/>
        <w:left w:val="none" w:sz="0" w:space="0" w:color="auto"/>
        <w:bottom w:val="none" w:sz="0" w:space="0" w:color="auto"/>
        <w:right w:val="none" w:sz="0" w:space="0" w:color="auto"/>
      </w:divBdr>
      <w:divsChild>
        <w:div w:id="1286809620">
          <w:marLeft w:val="0"/>
          <w:marRight w:val="0"/>
          <w:marTop w:val="0"/>
          <w:marBottom w:val="0"/>
          <w:divBdr>
            <w:top w:val="none" w:sz="0" w:space="0" w:color="auto"/>
            <w:left w:val="none" w:sz="0" w:space="0" w:color="auto"/>
            <w:bottom w:val="none" w:sz="0" w:space="0" w:color="auto"/>
            <w:right w:val="none" w:sz="0" w:space="0" w:color="auto"/>
          </w:divBdr>
        </w:div>
      </w:divsChild>
    </w:div>
    <w:div w:id="621887446">
      <w:bodyDiv w:val="1"/>
      <w:marLeft w:val="0"/>
      <w:marRight w:val="0"/>
      <w:marTop w:val="0"/>
      <w:marBottom w:val="0"/>
      <w:divBdr>
        <w:top w:val="none" w:sz="0" w:space="0" w:color="auto"/>
        <w:left w:val="none" w:sz="0" w:space="0" w:color="auto"/>
        <w:bottom w:val="none" w:sz="0" w:space="0" w:color="auto"/>
        <w:right w:val="none" w:sz="0" w:space="0" w:color="auto"/>
      </w:divBdr>
    </w:div>
    <w:div w:id="641350588">
      <w:bodyDiv w:val="1"/>
      <w:marLeft w:val="0"/>
      <w:marRight w:val="0"/>
      <w:marTop w:val="0"/>
      <w:marBottom w:val="0"/>
      <w:divBdr>
        <w:top w:val="none" w:sz="0" w:space="0" w:color="auto"/>
        <w:left w:val="none" w:sz="0" w:space="0" w:color="auto"/>
        <w:bottom w:val="none" w:sz="0" w:space="0" w:color="auto"/>
        <w:right w:val="none" w:sz="0" w:space="0" w:color="auto"/>
      </w:divBdr>
      <w:divsChild>
        <w:div w:id="1222908554">
          <w:marLeft w:val="0"/>
          <w:marRight w:val="0"/>
          <w:marTop w:val="0"/>
          <w:marBottom w:val="0"/>
          <w:divBdr>
            <w:top w:val="none" w:sz="0" w:space="0" w:color="auto"/>
            <w:left w:val="none" w:sz="0" w:space="0" w:color="auto"/>
            <w:bottom w:val="none" w:sz="0" w:space="0" w:color="auto"/>
            <w:right w:val="none" w:sz="0" w:space="0" w:color="auto"/>
          </w:divBdr>
        </w:div>
      </w:divsChild>
    </w:div>
    <w:div w:id="644822318">
      <w:bodyDiv w:val="1"/>
      <w:marLeft w:val="0"/>
      <w:marRight w:val="0"/>
      <w:marTop w:val="0"/>
      <w:marBottom w:val="0"/>
      <w:divBdr>
        <w:top w:val="none" w:sz="0" w:space="0" w:color="auto"/>
        <w:left w:val="none" w:sz="0" w:space="0" w:color="auto"/>
        <w:bottom w:val="none" w:sz="0" w:space="0" w:color="auto"/>
        <w:right w:val="none" w:sz="0" w:space="0" w:color="auto"/>
      </w:divBdr>
    </w:div>
    <w:div w:id="646514873">
      <w:bodyDiv w:val="1"/>
      <w:marLeft w:val="0"/>
      <w:marRight w:val="0"/>
      <w:marTop w:val="0"/>
      <w:marBottom w:val="0"/>
      <w:divBdr>
        <w:top w:val="none" w:sz="0" w:space="0" w:color="auto"/>
        <w:left w:val="none" w:sz="0" w:space="0" w:color="auto"/>
        <w:bottom w:val="none" w:sz="0" w:space="0" w:color="auto"/>
        <w:right w:val="none" w:sz="0" w:space="0" w:color="auto"/>
      </w:divBdr>
      <w:divsChild>
        <w:div w:id="593241712">
          <w:marLeft w:val="0"/>
          <w:marRight w:val="0"/>
          <w:marTop w:val="0"/>
          <w:marBottom w:val="0"/>
          <w:divBdr>
            <w:top w:val="none" w:sz="0" w:space="0" w:color="auto"/>
            <w:left w:val="none" w:sz="0" w:space="0" w:color="auto"/>
            <w:bottom w:val="none" w:sz="0" w:space="0" w:color="auto"/>
            <w:right w:val="none" w:sz="0" w:space="0" w:color="auto"/>
          </w:divBdr>
        </w:div>
      </w:divsChild>
    </w:div>
    <w:div w:id="696933850">
      <w:bodyDiv w:val="1"/>
      <w:marLeft w:val="0"/>
      <w:marRight w:val="0"/>
      <w:marTop w:val="0"/>
      <w:marBottom w:val="0"/>
      <w:divBdr>
        <w:top w:val="none" w:sz="0" w:space="0" w:color="auto"/>
        <w:left w:val="none" w:sz="0" w:space="0" w:color="auto"/>
        <w:bottom w:val="none" w:sz="0" w:space="0" w:color="auto"/>
        <w:right w:val="none" w:sz="0" w:space="0" w:color="auto"/>
      </w:divBdr>
    </w:div>
    <w:div w:id="742988664">
      <w:bodyDiv w:val="1"/>
      <w:marLeft w:val="0"/>
      <w:marRight w:val="0"/>
      <w:marTop w:val="0"/>
      <w:marBottom w:val="0"/>
      <w:divBdr>
        <w:top w:val="none" w:sz="0" w:space="0" w:color="auto"/>
        <w:left w:val="none" w:sz="0" w:space="0" w:color="auto"/>
        <w:bottom w:val="none" w:sz="0" w:space="0" w:color="auto"/>
        <w:right w:val="none" w:sz="0" w:space="0" w:color="auto"/>
      </w:divBdr>
    </w:div>
    <w:div w:id="867180020">
      <w:bodyDiv w:val="1"/>
      <w:marLeft w:val="0"/>
      <w:marRight w:val="0"/>
      <w:marTop w:val="0"/>
      <w:marBottom w:val="0"/>
      <w:divBdr>
        <w:top w:val="none" w:sz="0" w:space="0" w:color="auto"/>
        <w:left w:val="none" w:sz="0" w:space="0" w:color="auto"/>
        <w:bottom w:val="none" w:sz="0" w:space="0" w:color="auto"/>
        <w:right w:val="none" w:sz="0" w:space="0" w:color="auto"/>
      </w:divBdr>
    </w:div>
    <w:div w:id="885533041">
      <w:bodyDiv w:val="1"/>
      <w:marLeft w:val="0"/>
      <w:marRight w:val="0"/>
      <w:marTop w:val="0"/>
      <w:marBottom w:val="0"/>
      <w:divBdr>
        <w:top w:val="none" w:sz="0" w:space="0" w:color="auto"/>
        <w:left w:val="none" w:sz="0" w:space="0" w:color="auto"/>
        <w:bottom w:val="none" w:sz="0" w:space="0" w:color="auto"/>
        <w:right w:val="none" w:sz="0" w:space="0" w:color="auto"/>
      </w:divBdr>
    </w:div>
    <w:div w:id="944921406">
      <w:bodyDiv w:val="1"/>
      <w:marLeft w:val="0"/>
      <w:marRight w:val="0"/>
      <w:marTop w:val="0"/>
      <w:marBottom w:val="0"/>
      <w:divBdr>
        <w:top w:val="none" w:sz="0" w:space="0" w:color="auto"/>
        <w:left w:val="none" w:sz="0" w:space="0" w:color="auto"/>
        <w:bottom w:val="none" w:sz="0" w:space="0" w:color="auto"/>
        <w:right w:val="none" w:sz="0" w:space="0" w:color="auto"/>
      </w:divBdr>
    </w:div>
    <w:div w:id="970748781">
      <w:bodyDiv w:val="1"/>
      <w:marLeft w:val="0"/>
      <w:marRight w:val="0"/>
      <w:marTop w:val="0"/>
      <w:marBottom w:val="0"/>
      <w:divBdr>
        <w:top w:val="none" w:sz="0" w:space="0" w:color="auto"/>
        <w:left w:val="none" w:sz="0" w:space="0" w:color="auto"/>
        <w:bottom w:val="none" w:sz="0" w:space="0" w:color="auto"/>
        <w:right w:val="none" w:sz="0" w:space="0" w:color="auto"/>
      </w:divBdr>
    </w:div>
    <w:div w:id="985475641">
      <w:bodyDiv w:val="1"/>
      <w:marLeft w:val="0"/>
      <w:marRight w:val="0"/>
      <w:marTop w:val="0"/>
      <w:marBottom w:val="0"/>
      <w:divBdr>
        <w:top w:val="none" w:sz="0" w:space="0" w:color="auto"/>
        <w:left w:val="none" w:sz="0" w:space="0" w:color="auto"/>
        <w:bottom w:val="none" w:sz="0" w:space="0" w:color="auto"/>
        <w:right w:val="none" w:sz="0" w:space="0" w:color="auto"/>
      </w:divBdr>
    </w:div>
    <w:div w:id="998970131">
      <w:bodyDiv w:val="1"/>
      <w:marLeft w:val="0"/>
      <w:marRight w:val="0"/>
      <w:marTop w:val="0"/>
      <w:marBottom w:val="0"/>
      <w:divBdr>
        <w:top w:val="none" w:sz="0" w:space="0" w:color="auto"/>
        <w:left w:val="none" w:sz="0" w:space="0" w:color="auto"/>
        <w:bottom w:val="none" w:sz="0" w:space="0" w:color="auto"/>
        <w:right w:val="none" w:sz="0" w:space="0" w:color="auto"/>
      </w:divBdr>
    </w:div>
    <w:div w:id="1318146852">
      <w:bodyDiv w:val="1"/>
      <w:marLeft w:val="0"/>
      <w:marRight w:val="0"/>
      <w:marTop w:val="0"/>
      <w:marBottom w:val="0"/>
      <w:divBdr>
        <w:top w:val="none" w:sz="0" w:space="0" w:color="auto"/>
        <w:left w:val="none" w:sz="0" w:space="0" w:color="auto"/>
        <w:bottom w:val="none" w:sz="0" w:space="0" w:color="auto"/>
        <w:right w:val="none" w:sz="0" w:space="0" w:color="auto"/>
      </w:divBdr>
    </w:div>
    <w:div w:id="1387948969">
      <w:bodyDiv w:val="1"/>
      <w:marLeft w:val="0"/>
      <w:marRight w:val="0"/>
      <w:marTop w:val="0"/>
      <w:marBottom w:val="0"/>
      <w:divBdr>
        <w:top w:val="none" w:sz="0" w:space="0" w:color="auto"/>
        <w:left w:val="none" w:sz="0" w:space="0" w:color="auto"/>
        <w:bottom w:val="none" w:sz="0" w:space="0" w:color="auto"/>
        <w:right w:val="none" w:sz="0" w:space="0" w:color="auto"/>
      </w:divBdr>
    </w:div>
    <w:div w:id="1412237699">
      <w:bodyDiv w:val="1"/>
      <w:marLeft w:val="0"/>
      <w:marRight w:val="0"/>
      <w:marTop w:val="0"/>
      <w:marBottom w:val="0"/>
      <w:divBdr>
        <w:top w:val="none" w:sz="0" w:space="0" w:color="auto"/>
        <w:left w:val="none" w:sz="0" w:space="0" w:color="auto"/>
        <w:bottom w:val="none" w:sz="0" w:space="0" w:color="auto"/>
        <w:right w:val="none" w:sz="0" w:space="0" w:color="auto"/>
      </w:divBdr>
      <w:divsChild>
        <w:div w:id="1929999670">
          <w:marLeft w:val="0"/>
          <w:marRight w:val="0"/>
          <w:marTop w:val="0"/>
          <w:marBottom w:val="0"/>
          <w:divBdr>
            <w:top w:val="none" w:sz="0" w:space="0" w:color="auto"/>
            <w:left w:val="none" w:sz="0" w:space="0" w:color="auto"/>
            <w:bottom w:val="none" w:sz="0" w:space="0" w:color="auto"/>
            <w:right w:val="none" w:sz="0" w:space="0" w:color="auto"/>
          </w:divBdr>
        </w:div>
      </w:divsChild>
    </w:div>
    <w:div w:id="1420177562">
      <w:bodyDiv w:val="1"/>
      <w:marLeft w:val="0"/>
      <w:marRight w:val="0"/>
      <w:marTop w:val="0"/>
      <w:marBottom w:val="0"/>
      <w:divBdr>
        <w:top w:val="none" w:sz="0" w:space="0" w:color="auto"/>
        <w:left w:val="none" w:sz="0" w:space="0" w:color="auto"/>
        <w:bottom w:val="none" w:sz="0" w:space="0" w:color="auto"/>
        <w:right w:val="none" w:sz="0" w:space="0" w:color="auto"/>
      </w:divBdr>
    </w:div>
    <w:div w:id="1425105461">
      <w:bodyDiv w:val="1"/>
      <w:marLeft w:val="0"/>
      <w:marRight w:val="0"/>
      <w:marTop w:val="0"/>
      <w:marBottom w:val="0"/>
      <w:divBdr>
        <w:top w:val="none" w:sz="0" w:space="0" w:color="auto"/>
        <w:left w:val="none" w:sz="0" w:space="0" w:color="auto"/>
        <w:bottom w:val="none" w:sz="0" w:space="0" w:color="auto"/>
        <w:right w:val="none" w:sz="0" w:space="0" w:color="auto"/>
      </w:divBdr>
    </w:div>
    <w:div w:id="1460414757">
      <w:bodyDiv w:val="1"/>
      <w:marLeft w:val="0"/>
      <w:marRight w:val="0"/>
      <w:marTop w:val="0"/>
      <w:marBottom w:val="0"/>
      <w:divBdr>
        <w:top w:val="none" w:sz="0" w:space="0" w:color="auto"/>
        <w:left w:val="none" w:sz="0" w:space="0" w:color="auto"/>
        <w:bottom w:val="none" w:sz="0" w:space="0" w:color="auto"/>
        <w:right w:val="none" w:sz="0" w:space="0" w:color="auto"/>
      </w:divBdr>
    </w:div>
    <w:div w:id="1492869013">
      <w:bodyDiv w:val="1"/>
      <w:marLeft w:val="0"/>
      <w:marRight w:val="0"/>
      <w:marTop w:val="0"/>
      <w:marBottom w:val="0"/>
      <w:divBdr>
        <w:top w:val="none" w:sz="0" w:space="0" w:color="auto"/>
        <w:left w:val="none" w:sz="0" w:space="0" w:color="auto"/>
        <w:bottom w:val="none" w:sz="0" w:space="0" w:color="auto"/>
        <w:right w:val="none" w:sz="0" w:space="0" w:color="auto"/>
      </w:divBdr>
    </w:div>
    <w:div w:id="1525440508">
      <w:bodyDiv w:val="1"/>
      <w:marLeft w:val="0"/>
      <w:marRight w:val="0"/>
      <w:marTop w:val="0"/>
      <w:marBottom w:val="0"/>
      <w:divBdr>
        <w:top w:val="none" w:sz="0" w:space="0" w:color="auto"/>
        <w:left w:val="none" w:sz="0" w:space="0" w:color="auto"/>
        <w:bottom w:val="none" w:sz="0" w:space="0" w:color="auto"/>
        <w:right w:val="none" w:sz="0" w:space="0" w:color="auto"/>
      </w:divBdr>
    </w:div>
    <w:div w:id="1602762056">
      <w:bodyDiv w:val="1"/>
      <w:marLeft w:val="0"/>
      <w:marRight w:val="0"/>
      <w:marTop w:val="0"/>
      <w:marBottom w:val="0"/>
      <w:divBdr>
        <w:top w:val="none" w:sz="0" w:space="0" w:color="auto"/>
        <w:left w:val="none" w:sz="0" w:space="0" w:color="auto"/>
        <w:bottom w:val="none" w:sz="0" w:space="0" w:color="auto"/>
        <w:right w:val="none" w:sz="0" w:space="0" w:color="auto"/>
      </w:divBdr>
      <w:divsChild>
        <w:div w:id="1000960637">
          <w:marLeft w:val="0"/>
          <w:marRight w:val="0"/>
          <w:marTop w:val="0"/>
          <w:marBottom w:val="0"/>
          <w:divBdr>
            <w:top w:val="none" w:sz="0" w:space="0" w:color="auto"/>
            <w:left w:val="none" w:sz="0" w:space="0" w:color="auto"/>
            <w:bottom w:val="none" w:sz="0" w:space="0" w:color="auto"/>
            <w:right w:val="none" w:sz="0" w:space="0" w:color="auto"/>
          </w:divBdr>
        </w:div>
      </w:divsChild>
    </w:div>
    <w:div w:id="1617371643">
      <w:bodyDiv w:val="1"/>
      <w:marLeft w:val="0"/>
      <w:marRight w:val="0"/>
      <w:marTop w:val="0"/>
      <w:marBottom w:val="0"/>
      <w:divBdr>
        <w:top w:val="none" w:sz="0" w:space="0" w:color="auto"/>
        <w:left w:val="none" w:sz="0" w:space="0" w:color="auto"/>
        <w:bottom w:val="none" w:sz="0" w:space="0" w:color="auto"/>
        <w:right w:val="none" w:sz="0" w:space="0" w:color="auto"/>
      </w:divBdr>
    </w:div>
    <w:div w:id="1698962882">
      <w:bodyDiv w:val="1"/>
      <w:marLeft w:val="0"/>
      <w:marRight w:val="0"/>
      <w:marTop w:val="0"/>
      <w:marBottom w:val="0"/>
      <w:divBdr>
        <w:top w:val="none" w:sz="0" w:space="0" w:color="auto"/>
        <w:left w:val="none" w:sz="0" w:space="0" w:color="auto"/>
        <w:bottom w:val="none" w:sz="0" w:space="0" w:color="auto"/>
        <w:right w:val="none" w:sz="0" w:space="0" w:color="auto"/>
      </w:divBdr>
    </w:div>
    <w:div w:id="1830704153">
      <w:bodyDiv w:val="1"/>
      <w:marLeft w:val="0"/>
      <w:marRight w:val="0"/>
      <w:marTop w:val="0"/>
      <w:marBottom w:val="0"/>
      <w:divBdr>
        <w:top w:val="none" w:sz="0" w:space="0" w:color="auto"/>
        <w:left w:val="none" w:sz="0" w:space="0" w:color="auto"/>
        <w:bottom w:val="none" w:sz="0" w:space="0" w:color="auto"/>
        <w:right w:val="none" w:sz="0" w:space="0" w:color="auto"/>
      </w:divBdr>
      <w:divsChild>
        <w:div w:id="523518760">
          <w:marLeft w:val="0"/>
          <w:marRight w:val="0"/>
          <w:marTop w:val="0"/>
          <w:marBottom w:val="0"/>
          <w:divBdr>
            <w:top w:val="none" w:sz="0" w:space="0" w:color="auto"/>
            <w:left w:val="none" w:sz="0" w:space="0" w:color="auto"/>
            <w:bottom w:val="none" w:sz="0" w:space="0" w:color="auto"/>
            <w:right w:val="none" w:sz="0" w:space="0" w:color="auto"/>
          </w:divBdr>
        </w:div>
      </w:divsChild>
    </w:div>
    <w:div w:id="1965307902">
      <w:bodyDiv w:val="1"/>
      <w:marLeft w:val="0"/>
      <w:marRight w:val="0"/>
      <w:marTop w:val="0"/>
      <w:marBottom w:val="0"/>
      <w:divBdr>
        <w:top w:val="none" w:sz="0" w:space="0" w:color="auto"/>
        <w:left w:val="none" w:sz="0" w:space="0" w:color="auto"/>
        <w:bottom w:val="none" w:sz="0" w:space="0" w:color="auto"/>
        <w:right w:val="none" w:sz="0" w:space="0" w:color="auto"/>
      </w:divBdr>
      <w:divsChild>
        <w:div w:id="821625782">
          <w:marLeft w:val="0"/>
          <w:marRight w:val="0"/>
          <w:marTop w:val="0"/>
          <w:marBottom w:val="0"/>
          <w:divBdr>
            <w:top w:val="none" w:sz="0" w:space="0" w:color="auto"/>
            <w:left w:val="none" w:sz="0" w:space="0" w:color="auto"/>
            <w:bottom w:val="none" w:sz="0" w:space="0" w:color="auto"/>
            <w:right w:val="none" w:sz="0" w:space="0" w:color="auto"/>
          </w:divBdr>
        </w:div>
      </w:divsChild>
    </w:div>
    <w:div w:id="1978676911">
      <w:bodyDiv w:val="1"/>
      <w:marLeft w:val="0"/>
      <w:marRight w:val="0"/>
      <w:marTop w:val="0"/>
      <w:marBottom w:val="0"/>
      <w:divBdr>
        <w:top w:val="none" w:sz="0" w:space="0" w:color="auto"/>
        <w:left w:val="none" w:sz="0" w:space="0" w:color="auto"/>
        <w:bottom w:val="none" w:sz="0" w:space="0" w:color="auto"/>
        <w:right w:val="none" w:sz="0" w:space="0" w:color="auto"/>
      </w:divBdr>
      <w:divsChild>
        <w:div w:id="1640960688">
          <w:marLeft w:val="0"/>
          <w:marRight w:val="0"/>
          <w:marTop w:val="0"/>
          <w:marBottom w:val="0"/>
          <w:divBdr>
            <w:top w:val="none" w:sz="0" w:space="0" w:color="auto"/>
            <w:left w:val="none" w:sz="0" w:space="0" w:color="auto"/>
            <w:bottom w:val="none" w:sz="0" w:space="0" w:color="auto"/>
            <w:right w:val="none" w:sz="0" w:space="0" w:color="auto"/>
          </w:divBdr>
        </w:div>
      </w:divsChild>
    </w:div>
    <w:div w:id="2010867033">
      <w:bodyDiv w:val="1"/>
      <w:marLeft w:val="0"/>
      <w:marRight w:val="0"/>
      <w:marTop w:val="0"/>
      <w:marBottom w:val="0"/>
      <w:divBdr>
        <w:top w:val="none" w:sz="0" w:space="0" w:color="auto"/>
        <w:left w:val="none" w:sz="0" w:space="0" w:color="auto"/>
        <w:bottom w:val="none" w:sz="0" w:space="0" w:color="auto"/>
        <w:right w:val="none" w:sz="0" w:space="0" w:color="auto"/>
      </w:divBdr>
    </w:div>
    <w:div w:id="2029674494">
      <w:bodyDiv w:val="1"/>
      <w:marLeft w:val="0"/>
      <w:marRight w:val="0"/>
      <w:marTop w:val="0"/>
      <w:marBottom w:val="0"/>
      <w:divBdr>
        <w:top w:val="none" w:sz="0" w:space="0" w:color="auto"/>
        <w:left w:val="none" w:sz="0" w:space="0" w:color="auto"/>
        <w:bottom w:val="none" w:sz="0" w:space="0" w:color="auto"/>
        <w:right w:val="none" w:sz="0" w:space="0" w:color="auto"/>
      </w:divBdr>
    </w:div>
    <w:div w:id="2064987326">
      <w:bodyDiv w:val="1"/>
      <w:marLeft w:val="0"/>
      <w:marRight w:val="0"/>
      <w:marTop w:val="0"/>
      <w:marBottom w:val="0"/>
      <w:divBdr>
        <w:top w:val="none" w:sz="0" w:space="0" w:color="auto"/>
        <w:left w:val="none" w:sz="0" w:space="0" w:color="auto"/>
        <w:bottom w:val="none" w:sz="0" w:space="0" w:color="auto"/>
        <w:right w:val="none" w:sz="0" w:space="0" w:color="auto"/>
      </w:divBdr>
    </w:div>
    <w:div w:id="2068604597">
      <w:bodyDiv w:val="1"/>
      <w:marLeft w:val="0"/>
      <w:marRight w:val="0"/>
      <w:marTop w:val="0"/>
      <w:marBottom w:val="0"/>
      <w:divBdr>
        <w:top w:val="none" w:sz="0" w:space="0" w:color="auto"/>
        <w:left w:val="none" w:sz="0" w:space="0" w:color="auto"/>
        <w:bottom w:val="none" w:sz="0" w:space="0" w:color="auto"/>
        <w:right w:val="none" w:sz="0" w:space="0" w:color="auto"/>
      </w:divBdr>
    </w:div>
    <w:div w:id="213583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uk/government/publications/regulatory-standard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the-general-social-housing-rents-permitted-review-day-consent-201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the-general-social-housing-rents-permitted-review-day-consent-20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dht.co.uk/aboutus-how.asp" TargetMode="External"/><Relationship Id="rId5" Type="http://schemas.openxmlformats.org/officeDocument/2006/relationships/webSettings" Target="webSettings.xml"/><Relationship Id="rId15" Type="http://schemas.openxmlformats.org/officeDocument/2006/relationships/hyperlink" Target="http://services.parliament.uk/bills/2015-16/housingandplanning.html"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publications/guidance-on-rents-for-social-hou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940B8-C4A9-48CB-943A-9DFF0AAD7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12962</Words>
  <Characters>73886</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BDHT</Company>
  <LinksUpToDate>false</LinksUpToDate>
  <CharactersWithSpaces>86675</CharactersWithSpaces>
  <SharedDoc>false</SharedDoc>
  <HLinks>
    <vt:vector size="6" baseType="variant">
      <vt:variant>
        <vt:i4>327768</vt:i4>
      </vt:variant>
      <vt:variant>
        <vt:i4>0</vt:i4>
      </vt:variant>
      <vt:variant>
        <vt:i4>0</vt:i4>
      </vt:variant>
      <vt:variant>
        <vt:i4>5</vt:i4>
      </vt:variant>
      <vt:variant>
        <vt:lpwstr>http://portal.tenantservicesauthority.org/FindAndCompare.aspx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tim.young</dc:creator>
  <cp:lastModifiedBy>Young,Tim</cp:lastModifiedBy>
  <cp:revision>2</cp:revision>
  <cp:lastPrinted>2018-05-29T14:04:00Z</cp:lastPrinted>
  <dcterms:created xsi:type="dcterms:W3CDTF">2018-06-25T08:57:00Z</dcterms:created>
  <dcterms:modified xsi:type="dcterms:W3CDTF">2018-06-25T08:57:00Z</dcterms:modified>
</cp:coreProperties>
</file>